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B95" w14:textId="77777777" w:rsidR="00B47344" w:rsidRPr="00552C60" w:rsidRDefault="00B47344" w:rsidP="00B47344">
      <w:pPr>
        <w:pStyle w:val="Encabezado"/>
        <w:jc w:val="center"/>
        <w:rPr>
          <w:rFonts w:cs="Arial"/>
          <w:sz w:val="28"/>
        </w:rPr>
      </w:pPr>
      <w:r w:rsidRPr="00552C60">
        <w:rPr>
          <w:rFonts w:cs="Arial"/>
          <w:sz w:val="28"/>
        </w:rPr>
        <w:t>REICE</w:t>
      </w:r>
    </w:p>
    <w:p w14:paraId="7EF88519" w14:textId="77777777" w:rsidR="00B47344" w:rsidRPr="00552C60" w:rsidRDefault="00B47344" w:rsidP="00B47344">
      <w:pPr>
        <w:pStyle w:val="Encabezado"/>
        <w:jc w:val="center"/>
        <w:rPr>
          <w:rFonts w:cs="Arial"/>
          <w:sz w:val="28"/>
        </w:rPr>
      </w:pPr>
      <w:r w:rsidRPr="00552C60">
        <w:rPr>
          <w:rFonts w:cs="Arial"/>
          <w:sz w:val="28"/>
        </w:rPr>
        <w:t>Revista Electrónica de Investigación en Ciencias Económicas</w:t>
      </w:r>
    </w:p>
    <w:p w14:paraId="1F170559" w14:textId="77777777" w:rsidR="00B47344" w:rsidRPr="00552C60" w:rsidRDefault="00B47344" w:rsidP="00B47344">
      <w:pPr>
        <w:pStyle w:val="Encabezado"/>
        <w:jc w:val="center"/>
        <w:rPr>
          <w:rFonts w:cs="Arial"/>
          <w:sz w:val="28"/>
        </w:rPr>
      </w:pPr>
      <w:r w:rsidRPr="00552C60">
        <w:rPr>
          <w:rFonts w:cs="Arial"/>
          <w:sz w:val="28"/>
        </w:rPr>
        <w:t>Abriendo Camino al Conocimiento</w:t>
      </w:r>
    </w:p>
    <w:p w14:paraId="5134E526" w14:textId="77777777" w:rsidR="00B47344" w:rsidRPr="00552C60" w:rsidRDefault="00B47344" w:rsidP="00B47344">
      <w:pPr>
        <w:pStyle w:val="Encabezado"/>
        <w:jc w:val="center"/>
        <w:rPr>
          <w:rFonts w:cs="Arial"/>
        </w:rPr>
      </w:pPr>
      <w:r w:rsidRPr="00552C60">
        <w:rPr>
          <w:rFonts w:cs="Arial"/>
          <w:sz w:val="28"/>
        </w:rPr>
        <w:t>Facultad de Ciencias Económicas, UNAN-Managua</w:t>
      </w:r>
    </w:p>
    <w:p w14:paraId="7547B705" w14:textId="77777777" w:rsidR="00B47344" w:rsidRPr="00552C60" w:rsidRDefault="00B47344" w:rsidP="00B47344">
      <w:pPr>
        <w:rPr>
          <w:rStyle w:val="A1"/>
          <w:rFonts w:cs="Arial"/>
          <w:b w:val="0"/>
          <w:color w:val="auto"/>
          <w:sz w:val="32"/>
          <w:szCs w:val="32"/>
        </w:rPr>
      </w:pPr>
      <w:r w:rsidRPr="00552C60">
        <w:rPr>
          <w:rStyle w:val="A1"/>
          <w:rFonts w:cs="Arial"/>
          <w:b w:val="0"/>
          <w:color w:val="auto"/>
          <w:sz w:val="32"/>
          <w:szCs w:val="32"/>
        </w:rPr>
        <w:t xml:space="preserve"> </w:t>
      </w:r>
    </w:p>
    <w:p w14:paraId="5B454150" w14:textId="5CA32F08" w:rsidR="00B47344" w:rsidRPr="00B37C68" w:rsidRDefault="00A22C6E" w:rsidP="00B47344">
      <w:pPr>
        <w:pStyle w:val="s3"/>
        <w:shd w:val="clear" w:color="auto" w:fill="FFFFFF"/>
        <w:spacing w:before="0" w:beforeAutospacing="0" w:after="0" w:afterAutospacing="0" w:line="260" w:lineRule="atLeast"/>
        <w:jc w:val="center"/>
        <w:rPr>
          <w:rFonts w:cs="Arial"/>
          <w:iCs/>
          <w:sz w:val="22"/>
          <w:szCs w:val="22"/>
        </w:rPr>
      </w:pPr>
      <w:r w:rsidRPr="00B37C68">
        <w:rPr>
          <w:rFonts w:cs="Arial"/>
          <w:iCs/>
          <w:sz w:val="22"/>
          <w:szCs w:val="22"/>
        </w:rPr>
        <w:t xml:space="preserve">Vol. </w:t>
      </w:r>
      <w:r w:rsidR="00466254" w:rsidRPr="00B37C68">
        <w:rPr>
          <w:rFonts w:cs="Arial"/>
          <w:iCs/>
          <w:sz w:val="22"/>
          <w:szCs w:val="22"/>
        </w:rPr>
        <w:t>10</w:t>
      </w:r>
      <w:r w:rsidR="00B47344" w:rsidRPr="00B37C68">
        <w:rPr>
          <w:rFonts w:cs="Arial"/>
          <w:iCs/>
          <w:sz w:val="22"/>
          <w:szCs w:val="22"/>
        </w:rPr>
        <w:t xml:space="preserve">, No. </w:t>
      </w:r>
      <w:r w:rsidR="00C34BAA" w:rsidRPr="00B37C68">
        <w:rPr>
          <w:rFonts w:cs="Arial"/>
          <w:iCs/>
          <w:sz w:val="22"/>
          <w:szCs w:val="22"/>
        </w:rPr>
        <w:t>20</w:t>
      </w:r>
      <w:r w:rsidR="00B47344" w:rsidRPr="00B37C68">
        <w:rPr>
          <w:rFonts w:cs="Arial"/>
          <w:iCs/>
          <w:sz w:val="22"/>
          <w:szCs w:val="22"/>
        </w:rPr>
        <w:t xml:space="preserve">, </w:t>
      </w:r>
      <w:r w:rsidR="00C34BAA" w:rsidRPr="00B37C68">
        <w:rPr>
          <w:rFonts w:cs="Arial"/>
          <w:iCs/>
          <w:sz w:val="22"/>
          <w:szCs w:val="22"/>
        </w:rPr>
        <w:t>julio</w:t>
      </w:r>
      <w:r w:rsidR="00AD5FA7" w:rsidRPr="00B37C68">
        <w:rPr>
          <w:rFonts w:cs="Arial"/>
          <w:iCs/>
          <w:sz w:val="22"/>
          <w:szCs w:val="22"/>
        </w:rPr>
        <w:t xml:space="preserve"> - </w:t>
      </w:r>
      <w:r w:rsidR="00C34BAA" w:rsidRPr="00B37C68">
        <w:rPr>
          <w:rFonts w:cs="Arial"/>
          <w:iCs/>
          <w:sz w:val="22"/>
          <w:szCs w:val="22"/>
        </w:rPr>
        <w:t>diciembre</w:t>
      </w:r>
      <w:r w:rsidR="00E24515" w:rsidRPr="00B37C68">
        <w:rPr>
          <w:rFonts w:cs="Arial"/>
          <w:iCs/>
          <w:sz w:val="22"/>
          <w:szCs w:val="22"/>
        </w:rPr>
        <w:t xml:space="preserve"> 202</w:t>
      </w:r>
      <w:r w:rsidR="00C34BAA" w:rsidRPr="00B37C68">
        <w:rPr>
          <w:rFonts w:cs="Arial"/>
          <w:iCs/>
          <w:sz w:val="22"/>
          <w:szCs w:val="22"/>
        </w:rPr>
        <w:t>2</w:t>
      </w:r>
      <w:r w:rsidR="00B47344" w:rsidRPr="00B37C68">
        <w:rPr>
          <w:rFonts w:cs="Arial"/>
          <w:iCs/>
          <w:sz w:val="22"/>
          <w:szCs w:val="22"/>
        </w:rPr>
        <w:t xml:space="preserve">                                  REICE       ISSN: 2308-782X</w:t>
      </w:r>
    </w:p>
    <w:p w14:paraId="0AE775B4" w14:textId="77777777" w:rsidR="00B47344" w:rsidRPr="00B37C68" w:rsidRDefault="00E1701F" w:rsidP="00A34258">
      <w:pPr>
        <w:pStyle w:val="NormalWeb"/>
        <w:shd w:val="clear" w:color="auto" w:fill="FFFFFF"/>
        <w:spacing w:before="0" w:beforeAutospacing="0" w:after="0" w:afterAutospacing="0" w:line="251" w:lineRule="atLeast"/>
        <w:jc w:val="center"/>
        <w:rPr>
          <w:rFonts w:ascii="Arial" w:hAnsi="Arial" w:cs="Arial"/>
          <w:sz w:val="22"/>
          <w:szCs w:val="22"/>
        </w:rPr>
      </w:pPr>
      <w:hyperlink r:id="rId8" w:tgtFrame="_blank" w:history="1">
        <w:r w:rsidR="00B47344" w:rsidRPr="00B37C68">
          <w:rPr>
            <w:rStyle w:val="Hipervnculo"/>
            <w:rFonts w:ascii="Arial" w:hAnsi="Arial" w:cs="Arial"/>
            <w:color w:val="auto"/>
            <w:sz w:val="22"/>
            <w:szCs w:val="22"/>
            <w:shd w:val="clear" w:color="auto" w:fill="EBF1F2"/>
          </w:rPr>
          <w:t>http://revistacienciaseconomicas.unan.edu.ni/index.php/REICE</w:t>
        </w:r>
      </w:hyperlink>
    </w:p>
    <w:p w14:paraId="6C9B337C" w14:textId="77777777" w:rsidR="00B47344" w:rsidRPr="00956F8A" w:rsidRDefault="00E1701F" w:rsidP="00A34258">
      <w:pPr>
        <w:pStyle w:val="NormalWeb"/>
        <w:shd w:val="clear" w:color="auto" w:fill="FFFFFF"/>
        <w:spacing w:before="0" w:beforeAutospacing="0" w:after="0" w:afterAutospacing="0" w:line="251" w:lineRule="atLeast"/>
        <w:jc w:val="center"/>
        <w:rPr>
          <w:rFonts w:ascii="Arial" w:hAnsi="Arial" w:cs="Arial"/>
          <w:sz w:val="22"/>
          <w:szCs w:val="22"/>
          <w:lang w:val="en-US"/>
        </w:rPr>
      </w:pPr>
      <w:hyperlink r:id="rId9" w:tgtFrame="_blank" w:history="1">
        <w:r w:rsidR="00B47344" w:rsidRPr="00956F8A">
          <w:rPr>
            <w:rStyle w:val="Hipervnculo"/>
            <w:rFonts w:ascii="Arial" w:hAnsi="Arial" w:cs="Arial"/>
            <w:color w:val="auto"/>
            <w:sz w:val="22"/>
            <w:szCs w:val="22"/>
            <w:lang w:val="en-US"/>
          </w:rPr>
          <w:t>revistacienciaseconomicas@gmail.com</w:t>
        </w:r>
      </w:hyperlink>
    </w:p>
    <w:p w14:paraId="191305A0" w14:textId="77777777" w:rsidR="00B47344" w:rsidRPr="00956F8A" w:rsidRDefault="00B47344" w:rsidP="00C656C0">
      <w:pPr>
        <w:pStyle w:val="Ttulo10"/>
        <w:ind w:right="57"/>
        <w:jc w:val="center"/>
        <w:rPr>
          <w:rFonts w:ascii="Arial" w:eastAsia="Calibri" w:hAnsi="Arial" w:cs="Arial"/>
          <w:caps/>
          <w:spacing w:val="0"/>
          <w:kern w:val="0"/>
          <w:sz w:val="24"/>
          <w:szCs w:val="24"/>
          <w:lang w:val="en-US"/>
        </w:rPr>
      </w:pPr>
    </w:p>
    <w:p w14:paraId="444B290C" w14:textId="77777777" w:rsidR="0032057E" w:rsidRPr="0032057E" w:rsidRDefault="0032057E" w:rsidP="0032057E">
      <w:pPr>
        <w:contextualSpacing/>
        <w:jc w:val="center"/>
        <w:rPr>
          <w:rFonts w:asciiTheme="minorBidi" w:hAnsiTheme="minorBidi" w:cstheme="minorBidi"/>
          <w:szCs w:val="24"/>
          <w:lang w:val="en-US" w:bidi="fa-IR"/>
        </w:rPr>
      </w:pPr>
      <w:r w:rsidRPr="0032057E">
        <w:rPr>
          <w:rFonts w:asciiTheme="minorBidi" w:hAnsiTheme="minorBidi" w:cstheme="minorBidi"/>
          <w:szCs w:val="24"/>
          <w:lang w:val="en-US" w:bidi="fa-IR"/>
        </w:rPr>
        <w:t>Interrelation of Indicators of Economic and Innovative Growth and Their Impact on Sustainable Development</w:t>
      </w:r>
    </w:p>
    <w:p w14:paraId="12727A0B" w14:textId="77777777" w:rsidR="0032057E" w:rsidRPr="0032057E" w:rsidRDefault="0032057E" w:rsidP="0032057E">
      <w:pPr>
        <w:ind w:right="6"/>
        <w:jc w:val="center"/>
        <w:rPr>
          <w:rFonts w:asciiTheme="minorBidi" w:hAnsiTheme="minorBidi" w:cstheme="minorBidi"/>
          <w:szCs w:val="24"/>
          <w:lang w:val="en-US"/>
        </w:rPr>
      </w:pPr>
    </w:p>
    <w:p w14:paraId="4CC0B2D0" w14:textId="77777777" w:rsidR="0032057E" w:rsidRPr="0032057E" w:rsidRDefault="0032057E" w:rsidP="0032057E">
      <w:pPr>
        <w:ind w:right="6"/>
        <w:jc w:val="center"/>
        <w:rPr>
          <w:rFonts w:asciiTheme="minorBidi" w:hAnsiTheme="minorBidi" w:cstheme="minorBidi"/>
          <w:szCs w:val="24"/>
          <w:highlight w:val="yellow"/>
        </w:rPr>
      </w:pPr>
      <w:r w:rsidRPr="0032057E">
        <w:rPr>
          <w:rFonts w:asciiTheme="minorBidi" w:hAnsiTheme="minorBidi" w:cstheme="minorBidi"/>
          <w:szCs w:val="24"/>
        </w:rPr>
        <w:t>Interrelación de Indicadores de Crecimiento Económico e Innovador y su Impacto en el Desarrollo Sostenible</w:t>
      </w:r>
    </w:p>
    <w:p w14:paraId="1798C5F5" w14:textId="77777777" w:rsidR="0032057E" w:rsidRPr="00C147A2" w:rsidRDefault="0032057E" w:rsidP="0032057E">
      <w:pPr>
        <w:spacing w:after="160"/>
        <w:rPr>
          <w:rFonts w:asciiTheme="minorBidi" w:hAnsiTheme="minorBidi" w:cstheme="minorBidi"/>
          <w:szCs w:val="24"/>
          <w:highlight w:val="yellow"/>
        </w:rPr>
      </w:pPr>
    </w:p>
    <w:p w14:paraId="09CB7C0F" w14:textId="4278DDA5" w:rsidR="00B47344" w:rsidRPr="009936C1" w:rsidRDefault="00B47344" w:rsidP="00C0170E">
      <w:pPr>
        <w:pStyle w:val="Ttulo10"/>
        <w:ind w:right="57"/>
        <w:jc w:val="center"/>
        <w:rPr>
          <w:rFonts w:ascii="Arial" w:eastAsia="Calibri" w:hAnsi="Arial" w:cs="Arial"/>
          <w:caps/>
          <w:spacing w:val="0"/>
          <w:kern w:val="0"/>
          <w:sz w:val="24"/>
          <w:szCs w:val="24"/>
        </w:rPr>
      </w:pPr>
    </w:p>
    <w:p w14:paraId="12C05DC4" w14:textId="77777777" w:rsidR="004C3874" w:rsidRPr="00C147A2" w:rsidRDefault="004C3874" w:rsidP="004C3874">
      <w:pPr>
        <w:spacing w:after="160"/>
        <w:rPr>
          <w:rFonts w:asciiTheme="minorBidi" w:hAnsiTheme="minorBidi" w:cstheme="minorBidi"/>
          <w:szCs w:val="24"/>
          <w:highlight w:val="yellow"/>
        </w:rPr>
      </w:pPr>
    </w:p>
    <w:p w14:paraId="1CD00009" w14:textId="415CF36E" w:rsidR="00B47344" w:rsidRPr="00B37C68" w:rsidRDefault="00905BEA" w:rsidP="00B47344">
      <w:pPr>
        <w:jc w:val="right"/>
        <w:rPr>
          <w:rFonts w:cs="Arial"/>
          <w:sz w:val="22"/>
          <w:szCs w:val="20"/>
        </w:rPr>
      </w:pPr>
      <w:r w:rsidRPr="00B37C68">
        <w:rPr>
          <w:rFonts w:cs="Arial"/>
          <w:sz w:val="22"/>
          <w:szCs w:val="20"/>
        </w:rPr>
        <w:t xml:space="preserve">Fecha recepción: </w:t>
      </w:r>
      <w:r w:rsidR="00C34BAA" w:rsidRPr="00B37C68">
        <w:rPr>
          <w:rFonts w:cs="Arial"/>
          <w:sz w:val="22"/>
          <w:szCs w:val="20"/>
        </w:rPr>
        <w:t>noviembre</w:t>
      </w:r>
      <w:r w:rsidR="00466254" w:rsidRPr="00B37C68">
        <w:rPr>
          <w:rFonts w:cs="Arial"/>
          <w:sz w:val="22"/>
          <w:szCs w:val="20"/>
        </w:rPr>
        <w:t xml:space="preserve"> 0</w:t>
      </w:r>
      <w:r w:rsidR="00C34BAA" w:rsidRPr="00B37C68">
        <w:rPr>
          <w:rFonts w:cs="Arial"/>
          <w:sz w:val="22"/>
          <w:szCs w:val="20"/>
        </w:rPr>
        <w:t>2</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729E1EA6" w14:textId="29BD86C6" w:rsidR="00B47344" w:rsidRDefault="00905BEA" w:rsidP="00B47344">
      <w:pPr>
        <w:jc w:val="right"/>
        <w:rPr>
          <w:rFonts w:cs="Arial"/>
          <w:sz w:val="22"/>
          <w:szCs w:val="20"/>
        </w:rPr>
      </w:pPr>
      <w:r w:rsidRPr="00B37C68">
        <w:rPr>
          <w:rFonts w:cs="Arial"/>
          <w:sz w:val="22"/>
          <w:szCs w:val="20"/>
        </w:rPr>
        <w:t xml:space="preserve">Fecha aceptación: </w:t>
      </w:r>
      <w:r w:rsidR="00C34BAA" w:rsidRPr="00B37C68">
        <w:rPr>
          <w:rFonts w:cs="Arial"/>
          <w:sz w:val="22"/>
          <w:szCs w:val="20"/>
        </w:rPr>
        <w:t>noviembre</w:t>
      </w:r>
      <w:r w:rsidR="00466254" w:rsidRPr="00B37C68">
        <w:rPr>
          <w:rFonts w:cs="Arial"/>
          <w:sz w:val="22"/>
          <w:szCs w:val="20"/>
        </w:rPr>
        <w:t xml:space="preserve"> 1</w:t>
      </w:r>
      <w:r w:rsidR="00C34BAA" w:rsidRPr="00B37C68">
        <w:rPr>
          <w:rFonts w:cs="Arial"/>
          <w:sz w:val="22"/>
          <w:szCs w:val="20"/>
        </w:rPr>
        <w:t>7</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0016339B" w14:textId="258779BB" w:rsidR="00956F8A" w:rsidRPr="00B37C68" w:rsidRDefault="00956F8A" w:rsidP="00B47344">
      <w:pPr>
        <w:jc w:val="right"/>
        <w:rPr>
          <w:rFonts w:cs="Arial"/>
          <w:sz w:val="22"/>
          <w:szCs w:val="20"/>
        </w:rPr>
      </w:pPr>
      <w:r w:rsidRPr="00DD2938">
        <w:rPr>
          <w:rStyle w:val="Hipervnculo"/>
          <w:rFonts w:cs="Arial"/>
          <w:color w:val="auto"/>
          <w:u w:val="none"/>
        </w:rPr>
        <w:t>DOI:</w:t>
      </w:r>
      <w:r w:rsidRPr="00DD2938">
        <w:rPr>
          <w:rStyle w:val="Hipervnculo"/>
          <w:rFonts w:cs="Arial"/>
          <w:color w:val="auto"/>
          <w:szCs w:val="24"/>
          <w:u w:val="none"/>
        </w:rPr>
        <w:t xml:space="preserve"> </w:t>
      </w:r>
      <w:r>
        <w:rPr>
          <w:rStyle w:val="Hipervnculo"/>
          <w:rFonts w:cs="Arial"/>
          <w:color w:val="auto"/>
          <w:szCs w:val="24"/>
          <w:u w:val="none"/>
        </w:rPr>
        <w:t>10.5377/</w:t>
      </w:r>
      <w:proofErr w:type="gramStart"/>
      <w:r>
        <w:rPr>
          <w:rStyle w:val="Hipervnculo"/>
          <w:rFonts w:cs="Arial"/>
          <w:color w:val="auto"/>
          <w:szCs w:val="24"/>
          <w:u w:val="none"/>
        </w:rPr>
        <w:t>reice.v</w:t>
      </w:r>
      <w:proofErr w:type="gramEnd"/>
      <w:r>
        <w:rPr>
          <w:rStyle w:val="Hipervnculo"/>
          <w:rFonts w:cs="Arial"/>
          <w:color w:val="auto"/>
          <w:szCs w:val="24"/>
          <w:u w:val="none"/>
        </w:rPr>
        <w:t>10i20.160</w:t>
      </w:r>
      <w:r w:rsidR="00CD222B">
        <w:rPr>
          <w:rStyle w:val="Hipervnculo"/>
          <w:rFonts w:cs="Arial"/>
          <w:color w:val="auto"/>
          <w:szCs w:val="24"/>
          <w:u w:val="none"/>
        </w:rPr>
        <w:t>32</w:t>
      </w:r>
    </w:p>
    <w:p w14:paraId="7293C367" w14:textId="77777777" w:rsidR="00035892" w:rsidRDefault="00035892" w:rsidP="000C442E">
      <w:pPr>
        <w:pStyle w:val="Textonotapie"/>
        <w:jc w:val="both"/>
        <w:rPr>
          <w:rStyle w:val="Hipervnculo"/>
          <w:rFonts w:ascii="Arial" w:hAnsi="Arial" w:cs="Arial"/>
          <w:color w:val="auto"/>
          <w:sz w:val="24"/>
          <w:szCs w:val="24"/>
          <w:lang w:val="es-NI"/>
        </w:rPr>
      </w:pPr>
    </w:p>
    <w:p w14:paraId="026C5541" w14:textId="77777777" w:rsidR="0032057E" w:rsidRPr="0032057E" w:rsidRDefault="0032057E" w:rsidP="0032057E">
      <w:pPr>
        <w:shd w:val="clear" w:color="auto" w:fill="FFFFFF"/>
        <w:rPr>
          <w:rFonts w:asciiTheme="minorBidi" w:eastAsia="Times New Roman" w:hAnsiTheme="minorBidi" w:cstheme="minorBidi"/>
          <w:b/>
          <w:bCs/>
          <w:szCs w:val="24"/>
          <w:lang w:val="en-US" w:bidi="fa-IR"/>
        </w:rPr>
      </w:pPr>
      <w:r w:rsidRPr="0032057E">
        <w:rPr>
          <w:rFonts w:asciiTheme="minorBidi" w:eastAsia="Times New Roman" w:hAnsiTheme="minorBidi" w:cstheme="minorBidi"/>
          <w:b/>
          <w:bCs/>
          <w:szCs w:val="24"/>
          <w:lang w:val="en-US" w:bidi="fa-IR"/>
        </w:rPr>
        <w:t xml:space="preserve">Natalia </w:t>
      </w:r>
      <w:proofErr w:type="spellStart"/>
      <w:r w:rsidRPr="0032057E">
        <w:rPr>
          <w:rFonts w:asciiTheme="minorBidi" w:eastAsia="Times New Roman" w:hAnsiTheme="minorBidi" w:cstheme="minorBidi"/>
          <w:b/>
          <w:bCs/>
          <w:szCs w:val="24"/>
          <w:lang w:val="en-US" w:bidi="fa-IR"/>
        </w:rPr>
        <w:t>Sadovnikova</w:t>
      </w:r>
      <w:proofErr w:type="spellEnd"/>
      <w:r w:rsidRPr="0032057E">
        <w:rPr>
          <w:rFonts w:asciiTheme="minorBidi" w:eastAsia="Times New Roman" w:hAnsiTheme="minorBidi" w:cstheme="minorBidi"/>
          <w:b/>
          <w:bCs/>
          <w:szCs w:val="24"/>
          <w:lang w:val="en-US" w:bidi="fa-IR"/>
        </w:rPr>
        <w:t xml:space="preserve"> </w:t>
      </w:r>
    </w:p>
    <w:p w14:paraId="110F4727" w14:textId="77777777" w:rsidR="0032057E" w:rsidRPr="0032057E" w:rsidRDefault="0032057E" w:rsidP="0032057E">
      <w:pPr>
        <w:shd w:val="clear" w:color="auto" w:fill="FFFFFF"/>
        <w:rPr>
          <w:rFonts w:asciiTheme="minorBidi" w:eastAsia="Times New Roman" w:hAnsiTheme="minorBidi" w:cstheme="minorBidi"/>
          <w:szCs w:val="24"/>
          <w:lang w:val="en-US" w:bidi="fa-IR"/>
        </w:rPr>
      </w:pPr>
      <w:r w:rsidRPr="0032057E">
        <w:rPr>
          <w:rFonts w:asciiTheme="minorBidi" w:eastAsia="Times New Roman" w:hAnsiTheme="minorBidi" w:cstheme="minorBidi"/>
          <w:szCs w:val="24"/>
          <w:lang w:val="en-US" w:bidi="fa-IR"/>
        </w:rPr>
        <w:t xml:space="preserve">Plekhanov Russian University of Economics, Russia. </w:t>
      </w:r>
    </w:p>
    <w:p w14:paraId="122960EA" w14:textId="77777777" w:rsidR="0032057E" w:rsidRPr="0032057E" w:rsidRDefault="0032057E" w:rsidP="0032057E">
      <w:pPr>
        <w:shd w:val="clear" w:color="auto" w:fill="FFFFFF"/>
        <w:rPr>
          <w:rFonts w:asciiTheme="minorBidi" w:eastAsia="Times New Roman" w:hAnsiTheme="minorBidi" w:cstheme="minorBidi"/>
          <w:szCs w:val="24"/>
          <w:lang w:val="en-US" w:bidi="fa-IR"/>
        </w:rPr>
      </w:pPr>
      <w:r w:rsidRPr="0032057E">
        <w:rPr>
          <w:rFonts w:asciiTheme="minorBidi" w:eastAsia="Times New Roman" w:hAnsiTheme="minorBidi" w:cstheme="minorBidi"/>
          <w:szCs w:val="24"/>
          <w:lang w:val="en-US" w:bidi="fa-IR"/>
        </w:rPr>
        <w:t>Email:</w:t>
      </w:r>
      <w:r w:rsidRPr="0032057E">
        <w:rPr>
          <w:rFonts w:asciiTheme="minorBidi" w:hAnsiTheme="minorBidi" w:cstheme="minorBidi"/>
          <w:szCs w:val="24"/>
          <w:lang w:val="en-US"/>
        </w:rPr>
        <w:t xml:space="preserve"> </w:t>
      </w:r>
      <w:hyperlink r:id="rId10" w:history="1">
        <w:r w:rsidRPr="0032057E">
          <w:rPr>
            <w:rStyle w:val="Hipervnculo"/>
            <w:szCs w:val="24"/>
            <w:lang w:val="en-US"/>
          </w:rPr>
          <w:t>Sadovnikova.NA@rea.ru</w:t>
        </w:r>
      </w:hyperlink>
      <w:r w:rsidRPr="0032057E">
        <w:rPr>
          <w:szCs w:val="24"/>
          <w:lang w:val="en-US"/>
        </w:rPr>
        <w:t xml:space="preserve"> </w:t>
      </w:r>
    </w:p>
    <w:p w14:paraId="5877AEE6" w14:textId="77777777" w:rsidR="0032057E" w:rsidRPr="0032057E" w:rsidRDefault="0032057E" w:rsidP="0032057E">
      <w:pPr>
        <w:shd w:val="clear" w:color="auto" w:fill="FFFFFF"/>
        <w:rPr>
          <w:rFonts w:asciiTheme="minorBidi" w:eastAsia="Times New Roman" w:hAnsiTheme="minorBidi" w:cstheme="minorBidi"/>
          <w:szCs w:val="24"/>
          <w:lang w:val="en-US" w:bidi="fa-IR"/>
        </w:rPr>
      </w:pPr>
      <w:r w:rsidRPr="0032057E">
        <w:rPr>
          <w:rFonts w:asciiTheme="minorBidi" w:eastAsia="Times New Roman" w:hAnsiTheme="minorBidi" w:cstheme="minorBidi"/>
          <w:szCs w:val="24"/>
          <w:lang w:val="en-US" w:bidi="fa-IR"/>
        </w:rPr>
        <w:t xml:space="preserve">ORCID: </w:t>
      </w:r>
      <w:hyperlink r:id="rId11" w:history="1">
        <w:r w:rsidRPr="0032057E">
          <w:rPr>
            <w:rStyle w:val="Hipervnculo"/>
            <w:szCs w:val="24"/>
            <w:lang w:val="en-US"/>
          </w:rPr>
          <w:t>https://orcid.org/0000-0001-7630-2222</w:t>
        </w:r>
      </w:hyperlink>
      <w:r w:rsidRPr="0032057E">
        <w:rPr>
          <w:szCs w:val="24"/>
          <w:lang w:val="en-US"/>
        </w:rPr>
        <w:t xml:space="preserve"> </w:t>
      </w:r>
    </w:p>
    <w:p w14:paraId="027D88BF" w14:textId="77777777" w:rsidR="0032057E" w:rsidRPr="0032057E" w:rsidRDefault="0032057E" w:rsidP="0032057E">
      <w:pPr>
        <w:shd w:val="clear" w:color="auto" w:fill="FFFFFF"/>
        <w:rPr>
          <w:rFonts w:asciiTheme="minorBidi" w:eastAsia="Times New Roman" w:hAnsiTheme="minorBidi" w:cstheme="minorBidi"/>
          <w:b/>
          <w:bCs/>
          <w:szCs w:val="24"/>
          <w:lang w:val="en-US" w:bidi="fa-IR"/>
        </w:rPr>
      </w:pPr>
      <w:r w:rsidRPr="0032057E">
        <w:rPr>
          <w:rFonts w:asciiTheme="minorBidi" w:eastAsia="Times New Roman" w:hAnsiTheme="minorBidi" w:cstheme="minorBidi"/>
          <w:b/>
          <w:bCs/>
          <w:szCs w:val="24"/>
          <w:lang w:val="en-US" w:bidi="fa-IR"/>
        </w:rPr>
        <w:t>Kirill Kuznetsov</w:t>
      </w:r>
    </w:p>
    <w:p w14:paraId="24F3BD0A" w14:textId="77777777" w:rsidR="0032057E" w:rsidRPr="0032057E" w:rsidRDefault="0032057E" w:rsidP="0032057E">
      <w:pPr>
        <w:shd w:val="clear" w:color="auto" w:fill="FFFFFF"/>
        <w:rPr>
          <w:rFonts w:asciiTheme="minorBidi" w:eastAsia="Times New Roman" w:hAnsiTheme="minorBidi" w:cstheme="minorBidi"/>
          <w:szCs w:val="24"/>
          <w:lang w:val="en-US" w:bidi="fa-IR"/>
        </w:rPr>
      </w:pPr>
      <w:r w:rsidRPr="0032057E">
        <w:rPr>
          <w:rFonts w:asciiTheme="minorBidi" w:eastAsia="Times New Roman" w:hAnsiTheme="minorBidi" w:cstheme="minorBidi"/>
          <w:szCs w:val="24"/>
          <w:lang w:val="en-US" w:bidi="fa-IR"/>
        </w:rPr>
        <w:t xml:space="preserve">Plekhanov Russian University of Economics, Russia. </w:t>
      </w:r>
    </w:p>
    <w:p w14:paraId="35A7DE36" w14:textId="77777777" w:rsidR="0032057E" w:rsidRPr="0032057E" w:rsidRDefault="0032057E" w:rsidP="0032057E">
      <w:pPr>
        <w:shd w:val="clear" w:color="auto" w:fill="FFFFFF"/>
        <w:rPr>
          <w:rFonts w:asciiTheme="minorBidi" w:eastAsia="Times New Roman" w:hAnsiTheme="minorBidi" w:cstheme="minorBidi"/>
          <w:szCs w:val="24"/>
          <w:lang w:val="en-US" w:bidi="fa-IR"/>
        </w:rPr>
      </w:pPr>
      <w:r w:rsidRPr="0032057E">
        <w:rPr>
          <w:rFonts w:asciiTheme="minorBidi" w:eastAsia="Times New Roman" w:hAnsiTheme="minorBidi" w:cstheme="minorBidi"/>
          <w:szCs w:val="24"/>
          <w:lang w:val="en-US" w:bidi="fa-IR"/>
        </w:rPr>
        <w:t>Email:</w:t>
      </w:r>
      <w:r w:rsidRPr="0032057E">
        <w:rPr>
          <w:rFonts w:asciiTheme="minorBidi" w:hAnsiTheme="minorBidi" w:cstheme="minorBidi"/>
          <w:szCs w:val="24"/>
          <w:lang w:val="en-US"/>
        </w:rPr>
        <w:t xml:space="preserve"> </w:t>
      </w:r>
      <w:hyperlink r:id="rId12" w:history="1">
        <w:r w:rsidRPr="0032057E">
          <w:rPr>
            <w:rStyle w:val="Hipervnculo"/>
            <w:szCs w:val="24"/>
            <w:lang w:val="en-US"/>
          </w:rPr>
          <w:t>kir.v.kuznetsov@bk.ru</w:t>
        </w:r>
      </w:hyperlink>
      <w:r w:rsidRPr="0032057E">
        <w:rPr>
          <w:szCs w:val="24"/>
          <w:lang w:val="en-US"/>
        </w:rPr>
        <w:t xml:space="preserve"> </w:t>
      </w:r>
    </w:p>
    <w:p w14:paraId="0404833B" w14:textId="77777777" w:rsidR="0032057E" w:rsidRPr="00256BE0" w:rsidRDefault="0032057E" w:rsidP="0032057E">
      <w:pPr>
        <w:shd w:val="clear" w:color="auto" w:fill="FFFFFF"/>
        <w:rPr>
          <w:szCs w:val="24"/>
        </w:rPr>
      </w:pPr>
      <w:r w:rsidRPr="00256BE0">
        <w:rPr>
          <w:rFonts w:asciiTheme="minorBidi" w:eastAsia="Times New Roman" w:hAnsiTheme="minorBidi" w:cstheme="minorBidi"/>
          <w:szCs w:val="24"/>
          <w:lang w:bidi="fa-IR"/>
        </w:rPr>
        <w:t xml:space="preserve">ORCID: </w:t>
      </w:r>
      <w:hyperlink r:id="rId13" w:history="1">
        <w:r w:rsidRPr="00256BE0">
          <w:rPr>
            <w:rStyle w:val="Hipervnculo"/>
            <w:szCs w:val="24"/>
          </w:rPr>
          <w:t>https://orcid.org/0000-0001-7348-8199</w:t>
        </w:r>
      </w:hyperlink>
      <w:r w:rsidRPr="00256BE0">
        <w:rPr>
          <w:szCs w:val="24"/>
        </w:rPr>
        <w:t xml:space="preserve">    </w:t>
      </w:r>
    </w:p>
    <w:p w14:paraId="3C2B1818" w14:textId="77777777" w:rsidR="0032057E" w:rsidRPr="00B97121" w:rsidRDefault="0032057E" w:rsidP="0032057E">
      <w:pPr>
        <w:pStyle w:val="a"/>
        <w:spacing w:line="360" w:lineRule="auto"/>
        <w:ind w:firstLine="0"/>
        <w:rPr>
          <w:rFonts w:asciiTheme="minorBidi" w:hAnsiTheme="minorBidi" w:cstheme="minorBidi"/>
          <w:sz w:val="24"/>
          <w:szCs w:val="24"/>
          <w:lang w:val="en-US"/>
        </w:rPr>
      </w:pPr>
    </w:p>
    <w:p w14:paraId="3DF8DC42" w14:textId="77777777" w:rsidR="0032057E" w:rsidRDefault="0032057E" w:rsidP="000C442E">
      <w:pPr>
        <w:pStyle w:val="Textonotapie"/>
        <w:jc w:val="both"/>
        <w:rPr>
          <w:rStyle w:val="Hipervnculo"/>
          <w:rFonts w:ascii="Arial" w:hAnsi="Arial" w:cs="Arial"/>
          <w:color w:val="auto"/>
          <w:sz w:val="24"/>
          <w:szCs w:val="24"/>
          <w:lang w:val="es-NI"/>
        </w:rPr>
      </w:pPr>
    </w:p>
    <w:p w14:paraId="12FC2BA3" w14:textId="77777777" w:rsidR="0032057E" w:rsidRDefault="0032057E" w:rsidP="000C442E">
      <w:pPr>
        <w:pStyle w:val="Textonotapie"/>
        <w:jc w:val="both"/>
        <w:rPr>
          <w:rStyle w:val="Hipervnculo"/>
          <w:rFonts w:ascii="Arial" w:hAnsi="Arial" w:cs="Arial"/>
          <w:color w:val="auto"/>
          <w:sz w:val="24"/>
          <w:szCs w:val="24"/>
          <w:lang w:val="es-NI"/>
        </w:rPr>
      </w:pPr>
    </w:p>
    <w:p w14:paraId="23AD94A3" w14:textId="77777777" w:rsidR="0032057E" w:rsidRDefault="0032057E" w:rsidP="000C442E">
      <w:pPr>
        <w:pStyle w:val="Textonotapie"/>
        <w:jc w:val="both"/>
        <w:rPr>
          <w:rStyle w:val="Hipervnculo"/>
          <w:rFonts w:ascii="Arial" w:hAnsi="Arial" w:cs="Arial"/>
          <w:color w:val="auto"/>
          <w:sz w:val="24"/>
          <w:szCs w:val="24"/>
          <w:lang w:val="es-NI"/>
        </w:rPr>
      </w:pPr>
    </w:p>
    <w:p w14:paraId="141E7BDE" w14:textId="77777777" w:rsidR="0032057E" w:rsidRDefault="0032057E" w:rsidP="000C442E">
      <w:pPr>
        <w:pStyle w:val="Textonotapie"/>
        <w:jc w:val="both"/>
        <w:rPr>
          <w:rStyle w:val="Hipervnculo"/>
          <w:rFonts w:ascii="Arial" w:hAnsi="Arial" w:cs="Arial"/>
          <w:color w:val="auto"/>
          <w:sz w:val="24"/>
          <w:szCs w:val="24"/>
          <w:lang w:val="es-NI"/>
        </w:rPr>
      </w:pPr>
    </w:p>
    <w:p w14:paraId="5E56A3C5" w14:textId="77777777" w:rsidR="0032057E" w:rsidRDefault="0032057E" w:rsidP="000C442E">
      <w:pPr>
        <w:pStyle w:val="Textonotapie"/>
        <w:jc w:val="both"/>
        <w:rPr>
          <w:rStyle w:val="Hipervnculo"/>
          <w:rFonts w:ascii="Arial" w:hAnsi="Arial" w:cs="Arial"/>
          <w:color w:val="auto"/>
          <w:sz w:val="24"/>
          <w:szCs w:val="24"/>
          <w:lang w:val="es-NI"/>
        </w:rPr>
      </w:pPr>
    </w:p>
    <w:p w14:paraId="68CFA743" w14:textId="77777777" w:rsidR="0032057E" w:rsidRDefault="0032057E" w:rsidP="000C442E">
      <w:pPr>
        <w:pStyle w:val="Textonotapie"/>
        <w:jc w:val="both"/>
        <w:rPr>
          <w:rStyle w:val="Hipervnculo"/>
          <w:rFonts w:ascii="Arial" w:hAnsi="Arial" w:cs="Arial"/>
          <w:color w:val="auto"/>
          <w:sz w:val="24"/>
          <w:szCs w:val="24"/>
          <w:lang w:val="es-NI"/>
        </w:rPr>
      </w:pPr>
    </w:p>
    <w:p w14:paraId="0D6608CC" w14:textId="77777777" w:rsidR="0032057E" w:rsidRDefault="0032057E" w:rsidP="000C442E">
      <w:pPr>
        <w:pStyle w:val="Textonotapie"/>
        <w:jc w:val="both"/>
        <w:rPr>
          <w:rStyle w:val="Hipervnculo"/>
          <w:rFonts w:ascii="Arial" w:hAnsi="Arial" w:cs="Arial"/>
          <w:color w:val="auto"/>
          <w:sz w:val="24"/>
          <w:szCs w:val="24"/>
          <w:lang w:val="es-NI"/>
        </w:rPr>
      </w:pPr>
    </w:p>
    <w:p w14:paraId="36A4F619" w14:textId="77777777" w:rsidR="0032057E" w:rsidRDefault="0032057E" w:rsidP="000C442E">
      <w:pPr>
        <w:pStyle w:val="Textonotapie"/>
        <w:jc w:val="both"/>
        <w:rPr>
          <w:rStyle w:val="Hipervnculo"/>
          <w:rFonts w:ascii="Arial" w:hAnsi="Arial" w:cs="Arial"/>
          <w:color w:val="auto"/>
          <w:sz w:val="24"/>
          <w:szCs w:val="24"/>
          <w:lang w:val="es-NI"/>
        </w:rPr>
      </w:pPr>
    </w:p>
    <w:p w14:paraId="585093FA" w14:textId="77777777" w:rsidR="0032057E" w:rsidRPr="0032057E" w:rsidRDefault="0032057E" w:rsidP="000C442E">
      <w:pPr>
        <w:pStyle w:val="Textonotapie"/>
        <w:jc w:val="both"/>
        <w:rPr>
          <w:rStyle w:val="Hipervnculo"/>
          <w:rFonts w:ascii="Arial" w:hAnsi="Arial" w:cs="Arial"/>
          <w:color w:val="auto"/>
          <w:sz w:val="24"/>
          <w:szCs w:val="24"/>
          <w:lang w:val="es-NI"/>
        </w:rPr>
      </w:pPr>
    </w:p>
    <w:p w14:paraId="722589DE" w14:textId="77777777" w:rsidR="009054B7" w:rsidRPr="00552C60" w:rsidRDefault="009054B7" w:rsidP="009054B7">
      <w:pPr>
        <w:rPr>
          <w:rFonts w:cs="Arial"/>
        </w:rPr>
      </w:pPr>
      <w:r w:rsidRPr="00552C60">
        <w:rPr>
          <w:rFonts w:cs="Arial"/>
          <w:noProof/>
          <w:sz w:val="20"/>
          <w:szCs w:val="20"/>
          <w:shd w:val="clear" w:color="auto" w:fill="FFFFFF"/>
          <w:lang w:val="en-US"/>
        </w:rPr>
        <w:drawing>
          <wp:inline distT="0" distB="0" distL="0" distR="0" wp14:anchorId="2321C3DD" wp14:editId="6163B8DE">
            <wp:extent cx="838200" cy="295275"/>
            <wp:effectExtent l="0" t="0" r="0" b="9525"/>
            <wp:docPr id="9" name="Imagen 9"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3955A41" w14:textId="42627561" w:rsidR="00885500" w:rsidRPr="00552C60" w:rsidRDefault="009054B7" w:rsidP="00335177">
      <w:pPr>
        <w:rPr>
          <w:rFonts w:cs="Arial"/>
          <w:sz w:val="20"/>
          <w:szCs w:val="20"/>
        </w:rPr>
      </w:pPr>
      <w:r w:rsidRPr="00552C60">
        <w:rPr>
          <w:rFonts w:cs="Arial"/>
          <w:sz w:val="20"/>
          <w:szCs w:val="20"/>
        </w:rPr>
        <w:t>Derechos de autor 20</w:t>
      </w:r>
      <w:r w:rsidR="00F912BC" w:rsidRPr="00552C60">
        <w:rPr>
          <w:rFonts w:cs="Arial"/>
          <w:sz w:val="20"/>
          <w:szCs w:val="20"/>
        </w:rPr>
        <w:t>2</w:t>
      </w:r>
      <w:r w:rsidR="008C71A4" w:rsidRPr="00552C60">
        <w:rPr>
          <w:rFonts w:cs="Arial"/>
          <w:sz w:val="20"/>
          <w:szCs w:val="20"/>
        </w:rPr>
        <w:t>1</w:t>
      </w:r>
      <w:r w:rsidRPr="00552C60">
        <w:rPr>
          <w:rFonts w:cs="Arial"/>
          <w:sz w:val="20"/>
          <w:szCs w:val="20"/>
        </w:rPr>
        <w:t xml:space="preserve"> REICE: Revista Electrónica de Investigación en Ciencias Económicas.  </w:t>
      </w:r>
      <w:r w:rsidRPr="00552C60">
        <w:rPr>
          <w:rFonts w:cs="Arial"/>
          <w:sz w:val="20"/>
          <w:szCs w:val="20"/>
          <w:shd w:val="clear" w:color="auto" w:fill="FFFFFF"/>
        </w:rPr>
        <w:t>Esta obra está bajo licencia internacional </w:t>
      </w:r>
      <w:hyperlink r:id="rId16" w:history="1">
        <w:r w:rsidRPr="00552C60">
          <w:rPr>
            <w:rStyle w:val="Hipervnculo"/>
            <w:rFonts w:cs="Arial"/>
            <w:color w:val="auto"/>
            <w:sz w:val="20"/>
            <w:szCs w:val="20"/>
            <w:shd w:val="clear" w:color="auto" w:fill="FFFFFF"/>
          </w:rPr>
          <w:t>Creative</w:t>
        </w:r>
        <w:r w:rsidR="00B37C68">
          <w:rPr>
            <w:rStyle w:val="Hipervnculo"/>
            <w:rFonts w:cs="Arial"/>
            <w:color w:val="auto"/>
            <w:sz w:val="20"/>
            <w:szCs w:val="20"/>
            <w:shd w:val="clear" w:color="auto" w:fill="FFFFFF"/>
          </w:rPr>
          <w:t xml:space="preserve"> </w:t>
        </w:r>
        <w:proofErr w:type="spellStart"/>
        <w:r w:rsidRPr="00552C60">
          <w:rPr>
            <w:rStyle w:val="Hipervnculo"/>
            <w:rFonts w:cs="Arial"/>
            <w:color w:val="auto"/>
            <w:sz w:val="20"/>
            <w:szCs w:val="20"/>
            <w:shd w:val="clear" w:color="auto" w:fill="FFFFFF"/>
          </w:rPr>
          <w:t>Commons</w:t>
        </w:r>
        <w:proofErr w:type="spellEnd"/>
        <w:r w:rsidRPr="00552C60">
          <w:rPr>
            <w:rStyle w:val="Hipervnculo"/>
            <w:rFonts w:cs="Arial"/>
            <w:color w:val="auto"/>
            <w:sz w:val="20"/>
            <w:szCs w:val="20"/>
            <w:shd w:val="clear" w:color="auto" w:fill="FFFFFF"/>
          </w:rPr>
          <w:t xml:space="preserve"> Reconocimiento-</w:t>
        </w:r>
        <w:proofErr w:type="spellStart"/>
        <w:r w:rsidRPr="00552C60">
          <w:rPr>
            <w:rStyle w:val="Hipervnculo"/>
            <w:rFonts w:cs="Arial"/>
            <w:color w:val="auto"/>
            <w:sz w:val="20"/>
            <w:szCs w:val="20"/>
            <w:shd w:val="clear" w:color="auto" w:fill="FFFFFF"/>
          </w:rPr>
          <w:t>NoComercial</w:t>
        </w:r>
        <w:proofErr w:type="spellEnd"/>
        <w:r w:rsidRPr="00552C60">
          <w:rPr>
            <w:rStyle w:val="Hipervnculo"/>
            <w:rFonts w:cs="Arial"/>
            <w:color w:val="auto"/>
            <w:sz w:val="20"/>
            <w:szCs w:val="20"/>
            <w:shd w:val="clear" w:color="auto" w:fill="FFFFFF"/>
          </w:rPr>
          <w:t>-</w:t>
        </w:r>
        <w:proofErr w:type="spellStart"/>
        <w:r w:rsidRPr="00552C60">
          <w:rPr>
            <w:rStyle w:val="Hipervnculo"/>
            <w:rFonts w:cs="Arial"/>
            <w:color w:val="auto"/>
            <w:sz w:val="20"/>
            <w:szCs w:val="20"/>
            <w:shd w:val="clear" w:color="auto" w:fill="FFFFFF"/>
          </w:rPr>
          <w:t>CompartirIgual</w:t>
        </w:r>
        <w:proofErr w:type="spellEnd"/>
        <w:r w:rsidRPr="00552C60">
          <w:rPr>
            <w:rStyle w:val="Hipervnculo"/>
            <w:rFonts w:cs="Arial"/>
            <w:color w:val="auto"/>
            <w:sz w:val="20"/>
            <w:szCs w:val="20"/>
            <w:shd w:val="clear" w:color="auto" w:fill="FFFFFF"/>
          </w:rPr>
          <w:t xml:space="preserve"> 4.0</w:t>
        </w:r>
      </w:hyperlink>
      <w:r w:rsidRPr="00552C60">
        <w:rPr>
          <w:rFonts w:cs="Arial"/>
          <w:sz w:val="20"/>
          <w:szCs w:val="20"/>
          <w:shd w:val="clear" w:color="auto" w:fill="FFFFFF"/>
        </w:rPr>
        <w:t>.</w:t>
      </w:r>
      <w:r w:rsidRPr="00552C60">
        <w:rPr>
          <w:rFonts w:cs="Arial"/>
          <w:sz w:val="20"/>
          <w:szCs w:val="20"/>
        </w:rPr>
        <w:t>Copyright (c) Revista Electrónica de Investigación en Ciencias Económicas de la Unan- Managua</w:t>
      </w:r>
    </w:p>
    <w:p w14:paraId="6536F9F4" w14:textId="77777777" w:rsidR="00A014EF" w:rsidRDefault="00A014EF" w:rsidP="00335177">
      <w:pPr>
        <w:pStyle w:val="Ttulo10"/>
        <w:ind w:right="57"/>
        <w:rPr>
          <w:rFonts w:ascii="Arial" w:eastAsia="Calibri" w:hAnsi="Arial" w:cs="Arial"/>
          <w:b/>
          <w:spacing w:val="0"/>
          <w:kern w:val="0"/>
          <w:sz w:val="24"/>
          <w:szCs w:val="24"/>
        </w:rPr>
      </w:pPr>
    </w:p>
    <w:p w14:paraId="48A16E99" w14:textId="77777777" w:rsidR="009936C1" w:rsidRDefault="009936C1" w:rsidP="00C656C0">
      <w:pPr>
        <w:pStyle w:val="Ttulo10"/>
        <w:ind w:right="57"/>
        <w:rPr>
          <w:rFonts w:ascii="Arial" w:eastAsia="Calibri" w:hAnsi="Arial" w:cs="Arial"/>
          <w:b/>
          <w:spacing w:val="0"/>
          <w:kern w:val="0"/>
          <w:sz w:val="24"/>
          <w:szCs w:val="24"/>
        </w:rPr>
      </w:pPr>
    </w:p>
    <w:p w14:paraId="73B45776" w14:textId="741CCBE1" w:rsidR="009428C1" w:rsidRPr="00956F8A" w:rsidRDefault="00742036" w:rsidP="00C656C0">
      <w:pPr>
        <w:pStyle w:val="Ttulo10"/>
        <w:ind w:right="57"/>
        <w:rPr>
          <w:rFonts w:ascii="Arial" w:eastAsia="Calibri" w:hAnsi="Arial" w:cs="Arial"/>
          <w:b/>
          <w:spacing w:val="0"/>
          <w:kern w:val="0"/>
          <w:sz w:val="24"/>
          <w:szCs w:val="24"/>
        </w:rPr>
      </w:pPr>
      <w:r w:rsidRPr="00956F8A">
        <w:rPr>
          <w:rFonts w:ascii="Arial" w:eastAsia="Calibri" w:hAnsi="Arial" w:cs="Arial"/>
          <w:b/>
          <w:spacing w:val="0"/>
          <w:kern w:val="0"/>
          <w:sz w:val="24"/>
          <w:szCs w:val="24"/>
        </w:rPr>
        <w:t>Resumen</w:t>
      </w:r>
    </w:p>
    <w:p w14:paraId="688C40A0" w14:textId="77777777" w:rsidR="00742036" w:rsidRPr="00956F8A" w:rsidRDefault="00742036" w:rsidP="00742036"/>
    <w:p w14:paraId="79C8E12C" w14:textId="77777777" w:rsidR="0032057E" w:rsidRPr="00B97121" w:rsidRDefault="0032057E" w:rsidP="0032057E">
      <w:pPr>
        <w:spacing w:after="160" w:line="259" w:lineRule="auto"/>
        <w:rPr>
          <w:rFonts w:asciiTheme="minorBidi" w:hAnsiTheme="minorBidi" w:cstheme="minorBidi"/>
          <w:szCs w:val="24"/>
        </w:rPr>
      </w:pPr>
      <w:r w:rsidRPr="00B97121">
        <w:rPr>
          <w:rFonts w:asciiTheme="minorBidi" w:hAnsiTheme="minorBidi" w:cstheme="minorBidi"/>
          <w:szCs w:val="24"/>
        </w:rPr>
        <w:t xml:space="preserve">Los autores del artículo estudian la optimización de procesos de negocio en empresas manufactureras. Se estudió el concepto de procesos de negocio y sus funciones. Se </w:t>
      </w:r>
      <w:proofErr w:type="gramStart"/>
      <w:r w:rsidRPr="00B97121">
        <w:rPr>
          <w:rFonts w:asciiTheme="minorBidi" w:hAnsiTheme="minorBidi" w:cstheme="minorBidi"/>
          <w:szCs w:val="24"/>
        </w:rPr>
        <w:t>eligieron como</w:t>
      </w:r>
      <w:proofErr w:type="gramEnd"/>
      <w:r w:rsidRPr="00B97121">
        <w:rPr>
          <w:rFonts w:asciiTheme="minorBidi" w:hAnsiTheme="minorBidi" w:cstheme="minorBidi"/>
          <w:szCs w:val="24"/>
        </w:rPr>
        <w:t xml:space="preserve"> principales métodos la cognición, el análisis retrospectivo y documental, así como la síntesis, la generalización y la sistematización. Como resultado del estudio, los autores identificaron las principales etapas y aspectos teóricos de los procesos de negocios en empresas manufactureras, identificaron posibles alternativas a la elección estratégica e indicadores de la efectividad del proyecto de inversión, y propusieron modelos de procesos de negocios para las actividades de la empresa.</w:t>
      </w:r>
    </w:p>
    <w:p w14:paraId="2A734A67" w14:textId="3EDDC238" w:rsidR="0032057E" w:rsidRPr="008869DD" w:rsidRDefault="0032057E" w:rsidP="0032057E">
      <w:pPr>
        <w:spacing w:after="160" w:line="259" w:lineRule="auto"/>
        <w:rPr>
          <w:rFonts w:asciiTheme="minorBidi" w:hAnsiTheme="minorBidi" w:cstheme="minorBidi"/>
          <w:szCs w:val="24"/>
        </w:rPr>
      </w:pPr>
      <w:r w:rsidRPr="00B97121">
        <w:rPr>
          <w:rFonts w:asciiTheme="minorBidi" w:hAnsiTheme="minorBidi" w:cstheme="minorBidi"/>
          <w:b/>
          <w:bCs/>
          <w:szCs w:val="24"/>
        </w:rPr>
        <w:t xml:space="preserve">Palabras clave: </w:t>
      </w:r>
      <w:r w:rsidRPr="00B97121">
        <w:rPr>
          <w:rFonts w:asciiTheme="minorBidi" w:hAnsiTheme="minorBidi" w:cstheme="minorBidi"/>
          <w:szCs w:val="24"/>
        </w:rPr>
        <w:t>Modelos Innovadores</w:t>
      </w:r>
      <w:r w:rsidR="00DB588A">
        <w:rPr>
          <w:rFonts w:asciiTheme="minorBidi" w:hAnsiTheme="minorBidi" w:cstheme="minorBidi"/>
          <w:szCs w:val="24"/>
        </w:rPr>
        <w:t>;</w:t>
      </w:r>
      <w:r w:rsidRPr="00B97121">
        <w:rPr>
          <w:rFonts w:asciiTheme="minorBidi" w:hAnsiTheme="minorBidi" w:cstheme="minorBidi"/>
          <w:szCs w:val="24"/>
        </w:rPr>
        <w:t xml:space="preserve"> Inversiones</w:t>
      </w:r>
      <w:r w:rsidR="00DB588A">
        <w:rPr>
          <w:rFonts w:asciiTheme="minorBidi" w:hAnsiTheme="minorBidi" w:cstheme="minorBidi"/>
          <w:szCs w:val="24"/>
        </w:rPr>
        <w:t>;</w:t>
      </w:r>
      <w:r w:rsidRPr="00B97121">
        <w:rPr>
          <w:rFonts w:asciiTheme="minorBidi" w:hAnsiTheme="minorBidi" w:cstheme="minorBidi"/>
          <w:szCs w:val="24"/>
        </w:rPr>
        <w:t xml:space="preserve"> Indicadores de desempeño</w:t>
      </w:r>
      <w:r w:rsidR="00DB588A">
        <w:rPr>
          <w:rFonts w:asciiTheme="minorBidi" w:hAnsiTheme="minorBidi" w:cstheme="minorBidi"/>
          <w:szCs w:val="24"/>
        </w:rPr>
        <w:t>;</w:t>
      </w:r>
      <w:r w:rsidRPr="00B97121">
        <w:rPr>
          <w:rFonts w:asciiTheme="minorBidi" w:hAnsiTheme="minorBidi" w:cstheme="minorBidi"/>
          <w:szCs w:val="24"/>
        </w:rPr>
        <w:t xml:space="preserve"> Empresas de manufactura.</w:t>
      </w:r>
    </w:p>
    <w:p w14:paraId="23FA0DBD" w14:textId="77777777" w:rsidR="0032057E" w:rsidRPr="008869DD" w:rsidRDefault="0032057E" w:rsidP="0032057E">
      <w:pPr>
        <w:spacing w:after="160" w:line="259" w:lineRule="auto"/>
        <w:rPr>
          <w:rFonts w:asciiTheme="minorBidi" w:hAnsiTheme="minorBidi" w:cstheme="minorBidi"/>
          <w:szCs w:val="24"/>
        </w:rPr>
      </w:pPr>
      <w:r w:rsidRPr="008869DD">
        <w:rPr>
          <w:rFonts w:asciiTheme="minorBidi" w:hAnsiTheme="minorBidi" w:cstheme="minorBidi"/>
          <w:szCs w:val="24"/>
        </w:rPr>
        <w:t xml:space="preserve">  </w:t>
      </w:r>
    </w:p>
    <w:p w14:paraId="13AB675B" w14:textId="77777777" w:rsidR="0032057E" w:rsidRPr="0032057E" w:rsidRDefault="0032057E" w:rsidP="00742036"/>
    <w:p w14:paraId="7C29A8D3" w14:textId="5F05DE1F" w:rsidR="006738DA" w:rsidRPr="00552C60" w:rsidRDefault="006738DA" w:rsidP="00095E2A">
      <w:pPr>
        <w:spacing w:after="160" w:line="259" w:lineRule="auto"/>
        <w:rPr>
          <w:rFonts w:cs="Arial"/>
          <w:b/>
          <w:szCs w:val="24"/>
          <w:lang w:val="en-US"/>
        </w:rPr>
      </w:pPr>
      <w:r w:rsidRPr="00552C60">
        <w:rPr>
          <w:rFonts w:cs="Arial"/>
          <w:b/>
          <w:szCs w:val="24"/>
          <w:lang w:val="en-US"/>
        </w:rPr>
        <w:t>Abstract</w:t>
      </w:r>
    </w:p>
    <w:p w14:paraId="73B8D6DB" w14:textId="77777777" w:rsidR="0032057E" w:rsidRDefault="0032057E" w:rsidP="0032057E">
      <w:pPr>
        <w:spacing w:line="276" w:lineRule="auto"/>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The authors of the article study the optimization of business processes in manufacturing companies. The concept of business processes and their functions was studied. The main methods were chosen cognition, retrospective and documentary analysis, as well as synthesis, </w:t>
      </w:r>
      <w:proofErr w:type="gramStart"/>
      <w:r w:rsidRPr="0032057E">
        <w:rPr>
          <w:rFonts w:asciiTheme="minorBidi" w:eastAsia="SimSun" w:hAnsiTheme="minorBidi" w:cstheme="minorBidi"/>
          <w:szCs w:val="24"/>
          <w:lang w:val="en-US"/>
        </w:rPr>
        <w:t>generalization</w:t>
      </w:r>
      <w:proofErr w:type="gramEnd"/>
      <w:r w:rsidRPr="0032057E">
        <w:rPr>
          <w:rFonts w:asciiTheme="minorBidi" w:eastAsia="SimSun" w:hAnsiTheme="minorBidi" w:cstheme="minorBidi"/>
          <w:szCs w:val="24"/>
          <w:lang w:val="en-US"/>
        </w:rPr>
        <w:t xml:space="preserve"> and systematization. As a result of the study, the authors identified the main stages and theoretical aspects of business processes in manufacturing companies, identified possible alternatives to the strategic choice and indicators of the effectiveness of the investment project, and proposed business process models for the company's activities.</w:t>
      </w:r>
    </w:p>
    <w:p w14:paraId="32D4C0FC" w14:textId="77777777" w:rsidR="0032057E" w:rsidRPr="0032057E" w:rsidRDefault="0032057E" w:rsidP="0032057E">
      <w:pPr>
        <w:spacing w:line="276" w:lineRule="auto"/>
        <w:contextualSpacing/>
        <w:rPr>
          <w:rFonts w:asciiTheme="minorBidi" w:eastAsia="SimSun" w:hAnsiTheme="minorBidi" w:cstheme="minorBidi"/>
          <w:szCs w:val="24"/>
          <w:highlight w:val="yellow"/>
          <w:lang w:val="en-US"/>
        </w:rPr>
      </w:pPr>
    </w:p>
    <w:p w14:paraId="15177264" w14:textId="36CA7689" w:rsidR="0032057E" w:rsidRPr="00956F8A" w:rsidRDefault="0032057E" w:rsidP="0032057E">
      <w:pPr>
        <w:spacing w:line="360" w:lineRule="auto"/>
        <w:contextualSpacing/>
        <w:rPr>
          <w:rFonts w:asciiTheme="minorBidi" w:eastAsia="SimSun" w:hAnsiTheme="minorBidi" w:cstheme="minorBidi"/>
          <w:szCs w:val="24"/>
          <w:lang w:val="en-US"/>
        </w:rPr>
      </w:pPr>
      <w:r w:rsidRPr="0032057E">
        <w:rPr>
          <w:rFonts w:asciiTheme="minorBidi" w:eastAsia="SimSun" w:hAnsiTheme="minorBidi" w:cstheme="minorBidi"/>
          <w:b/>
          <w:bCs/>
          <w:szCs w:val="24"/>
          <w:lang w:val="en-US"/>
        </w:rPr>
        <w:t xml:space="preserve"> Keywords</w:t>
      </w:r>
      <w:r w:rsidRPr="0032057E">
        <w:rPr>
          <w:rFonts w:asciiTheme="minorBidi" w:eastAsia="SimSun" w:hAnsiTheme="minorBidi" w:cstheme="minorBidi"/>
          <w:szCs w:val="24"/>
          <w:lang w:val="en-US"/>
        </w:rPr>
        <w:t>: Innovative Models</w:t>
      </w:r>
      <w:r w:rsidR="00DB588A">
        <w:rPr>
          <w:rFonts w:asciiTheme="minorBidi" w:eastAsia="SimSun" w:hAnsiTheme="minorBidi" w:cstheme="minorBidi"/>
          <w:szCs w:val="24"/>
          <w:lang w:val="en-US"/>
        </w:rPr>
        <w:t>;</w:t>
      </w:r>
      <w:r w:rsidRPr="0032057E">
        <w:rPr>
          <w:rFonts w:asciiTheme="minorBidi" w:eastAsia="SimSun" w:hAnsiTheme="minorBidi" w:cstheme="minorBidi"/>
          <w:szCs w:val="24"/>
          <w:lang w:val="en-US"/>
        </w:rPr>
        <w:t xml:space="preserve"> Investments</w:t>
      </w:r>
      <w:r w:rsidR="00DB588A">
        <w:rPr>
          <w:rFonts w:asciiTheme="minorBidi" w:eastAsia="SimSun" w:hAnsiTheme="minorBidi" w:cstheme="minorBidi"/>
          <w:szCs w:val="24"/>
          <w:lang w:val="en-US"/>
        </w:rPr>
        <w:t>;</w:t>
      </w:r>
      <w:r w:rsidRPr="0032057E">
        <w:rPr>
          <w:rFonts w:asciiTheme="minorBidi" w:eastAsia="SimSun" w:hAnsiTheme="minorBidi" w:cstheme="minorBidi"/>
          <w:szCs w:val="24"/>
          <w:lang w:val="en-US"/>
        </w:rPr>
        <w:t xml:space="preserve"> Performance indicators</w:t>
      </w:r>
      <w:r w:rsidR="00DB588A">
        <w:rPr>
          <w:rFonts w:asciiTheme="minorBidi" w:eastAsia="SimSun" w:hAnsiTheme="minorBidi" w:cstheme="minorBidi"/>
          <w:szCs w:val="24"/>
          <w:lang w:val="en-US"/>
        </w:rPr>
        <w:t>;</w:t>
      </w:r>
      <w:r w:rsidRPr="0032057E">
        <w:rPr>
          <w:lang w:val="en-US"/>
        </w:rPr>
        <w:t xml:space="preserve"> </w:t>
      </w:r>
      <w:r w:rsidRPr="00956F8A">
        <w:rPr>
          <w:lang w:val="en-US"/>
        </w:rPr>
        <w:t>M</w:t>
      </w:r>
      <w:r w:rsidRPr="00956F8A">
        <w:rPr>
          <w:rFonts w:asciiTheme="minorBidi" w:eastAsia="SimSun" w:hAnsiTheme="minorBidi" w:cstheme="minorBidi"/>
          <w:szCs w:val="24"/>
          <w:lang w:val="en-US"/>
        </w:rPr>
        <w:t>anufacturing companies.</w:t>
      </w:r>
    </w:p>
    <w:p w14:paraId="0A13D7E1" w14:textId="77777777" w:rsidR="009936C1" w:rsidRDefault="009936C1" w:rsidP="00C656C0">
      <w:pPr>
        <w:ind w:right="57"/>
        <w:rPr>
          <w:rFonts w:cs="Arial"/>
          <w:b/>
          <w:szCs w:val="24"/>
          <w:lang w:val="en-US"/>
        </w:rPr>
      </w:pPr>
    </w:p>
    <w:p w14:paraId="593C4578" w14:textId="77777777" w:rsidR="009936C1" w:rsidRDefault="009936C1" w:rsidP="00C656C0">
      <w:pPr>
        <w:ind w:right="57"/>
        <w:rPr>
          <w:rFonts w:cs="Arial"/>
          <w:b/>
          <w:szCs w:val="24"/>
          <w:lang w:val="en-US"/>
        </w:rPr>
      </w:pPr>
    </w:p>
    <w:p w14:paraId="3A74F230" w14:textId="77777777" w:rsidR="0032057E" w:rsidRDefault="0032057E" w:rsidP="00C656C0">
      <w:pPr>
        <w:ind w:right="57"/>
        <w:rPr>
          <w:rFonts w:cs="Arial"/>
          <w:b/>
          <w:szCs w:val="24"/>
          <w:lang w:val="en-US"/>
        </w:rPr>
      </w:pPr>
    </w:p>
    <w:p w14:paraId="3715A41A" w14:textId="77777777" w:rsidR="0032057E" w:rsidRDefault="0032057E" w:rsidP="00C656C0">
      <w:pPr>
        <w:ind w:right="57"/>
        <w:rPr>
          <w:rFonts w:cs="Arial"/>
          <w:b/>
          <w:szCs w:val="24"/>
          <w:lang w:val="en-US"/>
        </w:rPr>
      </w:pPr>
    </w:p>
    <w:p w14:paraId="0111FAC9" w14:textId="77777777" w:rsidR="0032057E" w:rsidRDefault="0032057E" w:rsidP="00C656C0">
      <w:pPr>
        <w:ind w:right="57"/>
        <w:rPr>
          <w:rFonts w:cs="Arial"/>
          <w:b/>
          <w:szCs w:val="24"/>
          <w:lang w:val="en-US"/>
        </w:rPr>
      </w:pPr>
    </w:p>
    <w:p w14:paraId="75394873" w14:textId="77777777" w:rsidR="0032057E" w:rsidRDefault="0032057E" w:rsidP="00C656C0">
      <w:pPr>
        <w:ind w:right="57"/>
        <w:rPr>
          <w:rFonts w:cs="Arial"/>
          <w:b/>
          <w:szCs w:val="24"/>
          <w:lang w:val="en-US"/>
        </w:rPr>
      </w:pPr>
    </w:p>
    <w:p w14:paraId="7AB75C91" w14:textId="77777777" w:rsidR="0032057E" w:rsidRDefault="0032057E" w:rsidP="00C656C0">
      <w:pPr>
        <w:ind w:right="57"/>
        <w:rPr>
          <w:rFonts w:cs="Arial"/>
          <w:b/>
          <w:szCs w:val="24"/>
          <w:lang w:val="en-US"/>
        </w:rPr>
      </w:pPr>
    </w:p>
    <w:p w14:paraId="7D2B61F6" w14:textId="77777777" w:rsidR="0032057E" w:rsidRDefault="0032057E" w:rsidP="00C656C0">
      <w:pPr>
        <w:ind w:right="57"/>
        <w:rPr>
          <w:rFonts w:cs="Arial"/>
          <w:b/>
          <w:szCs w:val="24"/>
          <w:lang w:val="en-US"/>
        </w:rPr>
      </w:pPr>
    </w:p>
    <w:p w14:paraId="0C58EBCB" w14:textId="77777777" w:rsidR="0032057E" w:rsidRDefault="0032057E" w:rsidP="00C656C0">
      <w:pPr>
        <w:ind w:right="57"/>
        <w:rPr>
          <w:rFonts w:cs="Arial"/>
          <w:b/>
          <w:szCs w:val="24"/>
          <w:lang w:val="en-US"/>
        </w:rPr>
      </w:pPr>
    </w:p>
    <w:p w14:paraId="0ADA5734" w14:textId="77777777" w:rsidR="0032057E" w:rsidRDefault="0032057E" w:rsidP="00C656C0">
      <w:pPr>
        <w:ind w:right="57"/>
        <w:rPr>
          <w:rFonts w:cs="Arial"/>
          <w:b/>
          <w:szCs w:val="24"/>
          <w:lang w:val="en-US"/>
        </w:rPr>
      </w:pPr>
    </w:p>
    <w:p w14:paraId="1E8ACA12" w14:textId="77777777" w:rsidR="0032057E" w:rsidRDefault="0032057E" w:rsidP="00C656C0">
      <w:pPr>
        <w:ind w:right="57"/>
        <w:rPr>
          <w:rFonts w:cs="Arial"/>
          <w:b/>
          <w:szCs w:val="24"/>
          <w:lang w:val="en-US"/>
        </w:rPr>
      </w:pPr>
    </w:p>
    <w:p w14:paraId="634577B5" w14:textId="77777777" w:rsidR="0032057E" w:rsidRDefault="0032057E" w:rsidP="00C656C0">
      <w:pPr>
        <w:ind w:right="57"/>
        <w:rPr>
          <w:rFonts w:cs="Arial"/>
          <w:b/>
          <w:szCs w:val="24"/>
          <w:lang w:val="en-US"/>
        </w:rPr>
      </w:pPr>
    </w:p>
    <w:p w14:paraId="6C40AEAA" w14:textId="77777777" w:rsidR="0032057E" w:rsidRDefault="0032057E" w:rsidP="00C656C0">
      <w:pPr>
        <w:ind w:right="57"/>
        <w:rPr>
          <w:rFonts w:cs="Arial"/>
          <w:b/>
          <w:szCs w:val="24"/>
          <w:lang w:val="en-US"/>
        </w:rPr>
      </w:pPr>
    </w:p>
    <w:p w14:paraId="3A9D78F3" w14:textId="77777777" w:rsidR="0032057E" w:rsidRDefault="0032057E" w:rsidP="00C656C0">
      <w:pPr>
        <w:ind w:right="57"/>
        <w:rPr>
          <w:rFonts w:cs="Arial"/>
          <w:b/>
          <w:szCs w:val="24"/>
          <w:lang w:val="en-US"/>
        </w:rPr>
      </w:pPr>
    </w:p>
    <w:p w14:paraId="19A96F53" w14:textId="77777777" w:rsidR="0032057E" w:rsidRDefault="0032057E" w:rsidP="00C656C0">
      <w:pPr>
        <w:ind w:right="57"/>
        <w:rPr>
          <w:rFonts w:cs="Arial"/>
          <w:b/>
          <w:szCs w:val="24"/>
          <w:lang w:val="en-US"/>
        </w:rPr>
      </w:pPr>
    </w:p>
    <w:p w14:paraId="3FB28AC9" w14:textId="77777777" w:rsidR="0032057E" w:rsidRDefault="0032057E" w:rsidP="00C656C0">
      <w:pPr>
        <w:ind w:right="57"/>
        <w:rPr>
          <w:rFonts w:cs="Arial"/>
          <w:b/>
          <w:szCs w:val="24"/>
          <w:lang w:val="en-US"/>
        </w:rPr>
      </w:pPr>
    </w:p>
    <w:p w14:paraId="2356DF59" w14:textId="77777777" w:rsidR="0032057E" w:rsidRDefault="0032057E" w:rsidP="00C656C0">
      <w:pPr>
        <w:ind w:right="57"/>
        <w:rPr>
          <w:rFonts w:cs="Arial"/>
          <w:b/>
          <w:szCs w:val="24"/>
          <w:lang w:val="en-US"/>
        </w:rPr>
      </w:pPr>
    </w:p>
    <w:p w14:paraId="129F6898" w14:textId="77777777" w:rsidR="009936C1" w:rsidRDefault="009936C1" w:rsidP="00C656C0">
      <w:pPr>
        <w:ind w:right="57"/>
        <w:rPr>
          <w:rFonts w:cs="Arial"/>
          <w:b/>
          <w:szCs w:val="24"/>
          <w:lang w:val="en-US"/>
        </w:rPr>
      </w:pPr>
    </w:p>
    <w:p w14:paraId="244BDBA1" w14:textId="35642A6F" w:rsidR="004E62D3" w:rsidRPr="00E24515" w:rsidRDefault="00E96B47" w:rsidP="00C656C0">
      <w:pPr>
        <w:ind w:right="57"/>
        <w:rPr>
          <w:rFonts w:cs="Arial"/>
          <w:b/>
          <w:szCs w:val="24"/>
          <w:lang w:val="en-US"/>
        </w:rPr>
      </w:pPr>
      <w:r w:rsidRPr="00552C60">
        <w:rPr>
          <w:rFonts w:cs="Arial"/>
          <w:b/>
          <w:szCs w:val="24"/>
          <w:lang w:val="en-US"/>
        </w:rPr>
        <w:t xml:space="preserve"> </w:t>
      </w:r>
      <w:r w:rsidR="00246492" w:rsidRPr="00E24515">
        <w:rPr>
          <w:rFonts w:cs="Arial"/>
          <w:b/>
          <w:szCs w:val="24"/>
          <w:lang w:val="en-US"/>
        </w:rPr>
        <w:t>Introduction</w:t>
      </w:r>
    </w:p>
    <w:p w14:paraId="4F386360" w14:textId="77777777" w:rsidR="00095E2A" w:rsidRDefault="00095E2A" w:rsidP="000C442E">
      <w:pPr>
        <w:contextualSpacing/>
        <w:rPr>
          <w:rFonts w:asciiTheme="minorBidi" w:eastAsia="SimSun" w:hAnsiTheme="minorBidi" w:cstheme="minorBidi"/>
          <w:szCs w:val="24"/>
          <w:lang w:val="en-US"/>
        </w:rPr>
      </w:pPr>
    </w:p>
    <w:p w14:paraId="6092C587"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The Sustainable Development Goals are aimed at improving the standard of living of the population, reducing inequality, economic growth, and preserving natural resources. At the same time, it can be said that achieving the Sustainable Development Goals in the field of innovation and ecology is impossible without achieving the fundamental goals of sustainable development, which are necessary for survival. In many developing countries, there are still problems of high poverty of the population. Among the fundamental goals of sustainable development, SDG 1 – "Eradication of poverty" and SDG 2 – "Elimination of hunger" should be highlighted. We can say that these SDGs are fundamental and necessary for the physiological survival of a person. According to the theory of the American psychologist A. Maslow, these SDGs should be attributed to the physiological needs, without which higher needs cannot be realized. According to the theory of human capital, the economic development of the country and innovative growth is impossible without constant investment in education.</w:t>
      </w:r>
    </w:p>
    <w:p w14:paraId="79B0BE75"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It should be noted that the achievement of the indicators of SDG 13 ("Combating climate change"), SDG 14 ("Conservation of marine ecosystems"), will be possible only due to the achievement of the indicators of SDG 8 and SDG 9, which in turn can be achieved only after the indicators of SDG 1, SDG </w:t>
      </w:r>
      <w:proofErr w:type="gramStart"/>
      <w:r w:rsidRPr="0032057E">
        <w:rPr>
          <w:rFonts w:asciiTheme="minorBidi" w:eastAsia="SimSun" w:hAnsiTheme="minorBidi" w:cstheme="minorBidi"/>
          <w:szCs w:val="24"/>
          <w:lang w:val="en-US"/>
        </w:rPr>
        <w:t>2</w:t>
      </w:r>
      <w:proofErr w:type="gramEnd"/>
      <w:r w:rsidRPr="0032057E">
        <w:rPr>
          <w:rFonts w:asciiTheme="minorBidi" w:eastAsia="SimSun" w:hAnsiTheme="minorBidi" w:cstheme="minorBidi"/>
          <w:szCs w:val="24"/>
          <w:lang w:val="en-US"/>
        </w:rPr>
        <w:t xml:space="preserve"> and SDG 3. For monitoring Achieving the Sustainable Development Goals requires high-quality data. The international analysis of indicators is complicated by the lack of data on some indicators for </w:t>
      </w:r>
      <w:proofErr w:type="gramStart"/>
      <w:r w:rsidRPr="0032057E">
        <w:rPr>
          <w:rFonts w:asciiTheme="minorBidi" w:eastAsia="SimSun" w:hAnsiTheme="minorBidi" w:cstheme="minorBidi"/>
          <w:szCs w:val="24"/>
          <w:lang w:val="en-US"/>
        </w:rPr>
        <w:t>a number of</w:t>
      </w:r>
      <w:proofErr w:type="gramEnd"/>
      <w:r w:rsidRPr="0032057E">
        <w:rPr>
          <w:rFonts w:asciiTheme="minorBidi" w:eastAsia="SimSun" w:hAnsiTheme="minorBidi" w:cstheme="minorBidi"/>
          <w:szCs w:val="24"/>
          <w:lang w:val="en-US"/>
        </w:rPr>
        <w:t xml:space="preserve"> countries. It should be noted the different time periods of the formation of the SDGs. For example, the indicator "proportion of the population with an income below $1.9 per day" included in SDG 1 is presented for 2015-2021, and the indicator "spread of malnutrition" included in SDG 2 is presented only for 2015-2018. The lack of data for some years may be explained by the peculiarities of the work of statistical agencies in different countries. It can be assumed that the indicator "prevalence of malnutrition" is formed </w:t>
      </w:r>
      <w:proofErr w:type="gramStart"/>
      <w:r w:rsidRPr="0032057E">
        <w:rPr>
          <w:rFonts w:asciiTheme="minorBidi" w:eastAsia="SimSun" w:hAnsiTheme="minorBidi" w:cstheme="minorBidi"/>
          <w:szCs w:val="24"/>
          <w:lang w:val="en-US"/>
        </w:rPr>
        <w:t>on the basis of</w:t>
      </w:r>
      <w:proofErr w:type="gramEnd"/>
      <w:r w:rsidRPr="0032057E">
        <w:rPr>
          <w:rFonts w:asciiTheme="minorBidi" w:eastAsia="SimSun" w:hAnsiTheme="minorBidi" w:cstheme="minorBidi"/>
          <w:szCs w:val="24"/>
          <w:lang w:val="en-US"/>
        </w:rPr>
        <w:t xml:space="preserve"> household surveys.</w:t>
      </w:r>
    </w:p>
    <w:p w14:paraId="4190D987" w14:textId="77777777" w:rsidR="001A311D" w:rsidRDefault="001A311D" w:rsidP="000C442E">
      <w:pPr>
        <w:contextualSpacing/>
        <w:rPr>
          <w:rFonts w:asciiTheme="minorBidi" w:eastAsia="SimSun" w:hAnsiTheme="minorBidi" w:cstheme="minorBidi"/>
          <w:szCs w:val="24"/>
          <w:lang w:val="en-US"/>
        </w:rPr>
      </w:pPr>
    </w:p>
    <w:p w14:paraId="146437C4" w14:textId="77777777" w:rsidR="0079700A" w:rsidRDefault="0079700A" w:rsidP="000C442E">
      <w:pPr>
        <w:contextualSpacing/>
        <w:rPr>
          <w:rFonts w:asciiTheme="minorBidi" w:eastAsia="SimSun" w:hAnsiTheme="minorBidi" w:cstheme="minorBidi"/>
          <w:szCs w:val="24"/>
          <w:lang w:val="en-US"/>
        </w:rPr>
      </w:pPr>
    </w:p>
    <w:p w14:paraId="44900DE7" w14:textId="77777777" w:rsidR="0079700A" w:rsidRDefault="0079700A" w:rsidP="000C442E">
      <w:pPr>
        <w:contextualSpacing/>
        <w:rPr>
          <w:rFonts w:asciiTheme="minorBidi" w:eastAsia="SimSun" w:hAnsiTheme="minorBidi" w:cstheme="minorBidi"/>
          <w:szCs w:val="24"/>
          <w:lang w:val="en-US"/>
        </w:rPr>
      </w:pPr>
    </w:p>
    <w:p w14:paraId="698BAB39" w14:textId="77777777" w:rsidR="0079700A" w:rsidRDefault="0079700A" w:rsidP="000C442E">
      <w:pPr>
        <w:contextualSpacing/>
        <w:rPr>
          <w:rFonts w:asciiTheme="minorBidi" w:eastAsia="SimSun" w:hAnsiTheme="minorBidi" w:cstheme="minorBidi"/>
          <w:szCs w:val="24"/>
          <w:lang w:val="en-US"/>
        </w:rPr>
      </w:pPr>
    </w:p>
    <w:p w14:paraId="32F75D62" w14:textId="77777777" w:rsidR="0079700A" w:rsidRDefault="0079700A" w:rsidP="000C442E">
      <w:pPr>
        <w:contextualSpacing/>
        <w:rPr>
          <w:rFonts w:asciiTheme="minorBidi" w:eastAsia="SimSun" w:hAnsiTheme="minorBidi" w:cstheme="minorBidi"/>
          <w:szCs w:val="24"/>
          <w:lang w:val="en-US"/>
        </w:rPr>
      </w:pPr>
    </w:p>
    <w:p w14:paraId="0D4D9927" w14:textId="77777777" w:rsidR="0079700A" w:rsidRDefault="0079700A" w:rsidP="000C442E">
      <w:pPr>
        <w:contextualSpacing/>
        <w:rPr>
          <w:rFonts w:asciiTheme="minorBidi" w:eastAsia="SimSun" w:hAnsiTheme="minorBidi" w:cstheme="minorBidi"/>
          <w:szCs w:val="24"/>
          <w:lang w:val="en-US"/>
        </w:rPr>
      </w:pPr>
    </w:p>
    <w:p w14:paraId="1793A704" w14:textId="77777777" w:rsidR="0079700A" w:rsidRDefault="0079700A" w:rsidP="000C442E">
      <w:pPr>
        <w:contextualSpacing/>
        <w:rPr>
          <w:rFonts w:asciiTheme="minorBidi" w:eastAsia="SimSun" w:hAnsiTheme="minorBidi" w:cstheme="minorBidi"/>
          <w:szCs w:val="24"/>
          <w:lang w:val="en-US"/>
        </w:rPr>
      </w:pPr>
    </w:p>
    <w:p w14:paraId="09EA5014" w14:textId="77777777" w:rsidR="0079700A" w:rsidRDefault="0079700A" w:rsidP="000C442E">
      <w:pPr>
        <w:contextualSpacing/>
        <w:rPr>
          <w:rFonts w:asciiTheme="minorBidi" w:eastAsia="SimSun" w:hAnsiTheme="minorBidi" w:cstheme="minorBidi"/>
          <w:szCs w:val="24"/>
          <w:lang w:val="en-US"/>
        </w:rPr>
      </w:pPr>
    </w:p>
    <w:p w14:paraId="3025FFC4" w14:textId="77777777" w:rsidR="001A311D" w:rsidRDefault="001A311D" w:rsidP="000C442E">
      <w:pPr>
        <w:contextualSpacing/>
        <w:rPr>
          <w:rFonts w:asciiTheme="minorBidi" w:eastAsia="SimSun" w:hAnsiTheme="minorBidi" w:cstheme="minorBidi"/>
          <w:szCs w:val="24"/>
          <w:lang w:val="en-US"/>
        </w:rPr>
      </w:pPr>
    </w:p>
    <w:p w14:paraId="6BAAA6A5" w14:textId="77777777" w:rsidR="00095E2A" w:rsidRDefault="00104A44" w:rsidP="00095E2A">
      <w:pPr>
        <w:rPr>
          <w:rFonts w:ascii="Times New Roman" w:eastAsia="MS Gothic" w:hAnsi="Times New Roman"/>
          <w:b/>
          <w:bCs/>
          <w:sz w:val="28"/>
          <w:szCs w:val="28"/>
          <w:lang w:val="en-US"/>
        </w:rPr>
      </w:pPr>
      <w:r w:rsidRPr="00A014EF">
        <w:rPr>
          <w:rFonts w:ascii="Times New Roman" w:hAnsi="Times New Roman" w:cs="B Zar"/>
          <w:b/>
          <w:bCs/>
          <w:szCs w:val="24"/>
          <w:lang w:val="en-US"/>
        </w:rPr>
        <w:t>Materials and Methods</w:t>
      </w:r>
      <w:r w:rsidRPr="00A014EF">
        <w:rPr>
          <w:rFonts w:ascii="Times New Roman" w:eastAsia="MS Gothic" w:hAnsi="Times New Roman"/>
          <w:b/>
          <w:bCs/>
          <w:sz w:val="28"/>
          <w:szCs w:val="28"/>
          <w:lang w:val="en-US"/>
        </w:rPr>
        <w:t xml:space="preserve"> </w:t>
      </w:r>
    </w:p>
    <w:p w14:paraId="70C7E6F1" w14:textId="77777777" w:rsidR="00095E2A" w:rsidRDefault="00095E2A" w:rsidP="00095E2A">
      <w:pPr>
        <w:rPr>
          <w:rFonts w:ascii="Times New Roman" w:eastAsia="MS Gothic" w:hAnsi="Times New Roman"/>
          <w:b/>
          <w:bCs/>
          <w:sz w:val="28"/>
          <w:szCs w:val="28"/>
          <w:lang w:val="en-US"/>
        </w:rPr>
      </w:pPr>
    </w:p>
    <w:p w14:paraId="1A1B28F7"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Sustainable development theorists strive to prioritize and integrate social, </w:t>
      </w:r>
      <w:proofErr w:type="gramStart"/>
      <w:r w:rsidRPr="0032057E">
        <w:rPr>
          <w:rFonts w:asciiTheme="minorBidi" w:eastAsia="SimSun" w:hAnsiTheme="minorBidi" w:cstheme="minorBidi"/>
          <w:szCs w:val="24"/>
          <w:lang w:val="en-US"/>
        </w:rPr>
        <w:t>environmental</w:t>
      </w:r>
      <w:proofErr w:type="gramEnd"/>
      <w:r w:rsidRPr="0032057E">
        <w:rPr>
          <w:rFonts w:asciiTheme="minorBidi" w:eastAsia="SimSun" w:hAnsiTheme="minorBidi" w:cstheme="minorBidi"/>
          <w:szCs w:val="24"/>
          <w:lang w:val="en-US"/>
        </w:rPr>
        <w:t xml:space="preserve"> and economic models into solving human problems in such a way that it constantly benefits people (Hussain et al., 2014; UNSD, 2018). Part of the research in the field of SDGs is devoted to the problems of the relationship between SDGs and solving environmental problems (</w:t>
      </w:r>
      <w:proofErr w:type="spellStart"/>
      <w:r w:rsidRPr="0032057E">
        <w:rPr>
          <w:rFonts w:asciiTheme="minorBidi" w:eastAsia="SimSun" w:hAnsiTheme="minorBidi" w:cstheme="minorBidi"/>
          <w:szCs w:val="24"/>
          <w:lang w:val="en-US"/>
        </w:rPr>
        <w:t>Adrangi</w:t>
      </w:r>
      <w:proofErr w:type="spellEnd"/>
      <w:r w:rsidRPr="0032057E">
        <w:rPr>
          <w:rFonts w:asciiTheme="minorBidi" w:eastAsia="SimSun" w:hAnsiTheme="minorBidi" w:cstheme="minorBidi"/>
          <w:szCs w:val="24"/>
          <w:lang w:val="en-US"/>
        </w:rPr>
        <w:t xml:space="preserve"> and Kerr, 2022). Other researchers have studied the relationship of the UN SDGs with migration (Prada, 2020). Prada was able to substantiate the relationship between migration and the SDGs: migration can influence the achievement of sustainable development, and, conversely, the achievement of these goals also contributes to migration to the EU. The </w:t>
      </w:r>
      <w:proofErr w:type="spellStart"/>
      <w:r w:rsidRPr="0032057E">
        <w:rPr>
          <w:rFonts w:asciiTheme="minorBidi" w:eastAsia="SimSun" w:hAnsiTheme="minorBidi" w:cstheme="minorBidi"/>
          <w:szCs w:val="24"/>
          <w:lang w:val="en-US"/>
        </w:rPr>
        <w:t>Coscieme</w:t>
      </w:r>
      <w:proofErr w:type="spellEnd"/>
      <w:r w:rsidRPr="0032057E">
        <w:rPr>
          <w:rFonts w:asciiTheme="minorBidi" w:eastAsia="SimSun" w:hAnsiTheme="minorBidi" w:cstheme="minorBidi"/>
          <w:szCs w:val="24"/>
          <w:lang w:val="en-US"/>
        </w:rPr>
        <w:t xml:space="preserve"> study concludes that the focus on GDP growth leads to the inability to achieve the </w:t>
      </w:r>
      <w:proofErr w:type="gramStart"/>
      <w:r w:rsidRPr="0032057E">
        <w:rPr>
          <w:rFonts w:asciiTheme="minorBidi" w:eastAsia="SimSun" w:hAnsiTheme="minorBidi" w:cstheme="minorBidi"/>
          <w:szCs w:val="24"/>
          <w:lang w:val="en-US"/>
        </w:rPr>
        <w:t>SDGs as a whole</w:t>
      </w:r>
      <w:proofErr w:type="gramEnd"/>
      <w:r w:rsidRPr="0032057E">
        <w:rPr>
          <w:rFonts w:asciiTheme="minorBidi" w:eastAsia="SimSun" w:hAnsiTheme="minorBidi" w:cstheme="minorBidi"/>
          <w:szCs w:val="24"/>
          <w:lang w:val="en-US"/>
        </w:rPr>
        <w:t xml:space="preserve"> (</w:t>
      </w:r>
      <w:proofErr w:type="spellStart"/>
      <w:r w:rsidRPr="0032057E">
        <w:rPr>
          <w:rFonts w:asciiTheme="minorBidi" w:eastAsia="SimSun" w:hAnsiTheme="minorBidi" w:cstheme="minorBidi"/>
          <w:szCs w:val="24"/>
          <w:lang w:val="en-US"/>
        </w:rPr>
        <w:t>Coscieme</w:t>
      </w:r>
      <w:proofErr w:type="spellEnd"/>
      <w:r w:rsidRPr="0032057E">
        <w:rPr>
          <w:rFonts w:asciiTheme="minorBidi" w:eastAsia="SimSun" w:hAnsiTheme="minorBidi" w:cstheme="minorBidi"/>
          <w:szCs w:val="24"/>
          <w:lang w:val="en-US"/>
        </w:rPr>
        <w:t xml:space="preserve"> et al., 2020). Most of the cross-country comparisons on the SDGs are focused on European countries. Russia is not fully represented in such comparisons. In this connection, the purpose of the study is to determine the level of development of the Russian Federation according to the indicators of the Sustainable Development Goals, to identify countries similar in level of development, the relationship between the indicators of the Sustainable Development Goals.</w:t>
      </w:r>
    </w:p>
    <w:p w14:paraId="1EFF5982"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Data sources for the study are data from the Federal State Statistics Service (</w:t>
      </w:r>
      <w:proofErr w:type="spellStart"/>
      <w:r w:rsidRPr="0032057E">
        <w:rPr>
          <w:rFonts w:asciiTheme="minorBidi" w:eastAsia="SimSun" w:hAnsiTheme="minorBidi" w:cstheme="minorBidi"/>
          <w:szCs w:val="24"/>
          <w:lang w:val="en-US"/>
        </w:rPr>
        <w:t>Rosstat</w:t>
      </w:r>
      <w:proofErr w:type="spellEnd"/>
      <w:r w:rsidRPr="0032057E">
        <w:rPr>
          <w:rFonts w:asciiTheme="minorBidi" w:eastAsia="SimSun" w:hAnsiTheme="minorBidi" w:cstheme="minorBidi"/>
          <w:szCs w:val="24"/>
          <w:lang w:val="en-US"/>
        </w:rPr>
        <w:t>) (n.d.), data from the Sustainable Development Report, the Voluntary National Review of the Sustainable Development Goals (United Nations, n.d., 2022). Data processing was carried out in the application software packages "R" and IBM "SPSS".</w:t>
      </w:r>
    </w:p>
    <w:p w14:paraId="45199888"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proofErr w:type="gramStart"/>
      <w:r w:rsidRPr="0032057E">
        <w:rPr>
          <w:rFonts w:asciiTheme="minorBidi" w:eastAsia="SimSun" w:hAnsiTheme="minorBidi" w:cstheme="minorBidi"/>
          <w:szCs w:val="24"/>
          <w:lang w:val="en-US"/>
        </w:rPr>
        <w:t>In order to</w:t>
      </w:r>
      <w:proofErr w:type="gramEnd"/>
      <w:r w:rsidRPr="0032057E">
        <w:rPr>
          <w:rFonts w:asciiTheme="minorBidi" w:eastAsia="SimSun" w:hAnsiTheme="minorBidi" w:cstheme="minorBidi"/>
          <w:szCs w:val="24"/>
          <w:lang w:val="en-US"/>
        </w:rPr>
        <w:t xml:space="preserve"> determine the closeness of the link between the Sustainable Development Goals, one indicator was selected from each Goal for 2019. It is important to note that for some SDG indicators, data are not provided for all countries, and for some there are no data for the period under review. For example, among the presented data for 2019 on SDG 1 among 193 countries, there are no values for indicators in 32 countries (16.6%) among the countries under consideration. Thus, the selection of indicators for each SDG was carried out </w:t>
      </w:r>
      <w:proofErr w:type="gramStart"/>
      <w:r w:rsidRPr="0032057E">
        <w:rPr>
          <w:rFonts w:asciiTheme="minorBidi" w:eastAsia="SimSun" w:hAnsiTheme="minorBidi" w:cstheme="minorBidi"/>
          <w:szCs w:val="24"/>
          <w:lang w:val="en-US"/>
        </w:rPr>
        <w:t>taking into account</w:t>
      </w:r>
      <w:proofErr w:type="gramEnd"/>
      <w:r w:rsidRPr="0032057E">
        <w:rPr>
          <w:rFonts w:asciiTheme="minorBidi" w:eastAsia="SimSun" w:hAnsiTheme="minorBidi" w:cstheme="minorBidi"/>
          <w:szCs w:val="24"/>
          <w:lang w:val="en-US"/>
        </w:rPr>
        <w:t xml:space="preserve"> the proportion of missing values by country.</w:t>
      </w:r>
    </w:p>
    <w:p w14:paraId="01FD7E1D"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Indicators from 9 Sustainable Development Goals were selected for the correlation analysis:</w:t>
      </w:r>
    </w:p>
    <w:p w14:paraId="74DBD6CE" w14:textId="77777777" w:rsidR="0032057E" w:rsidRPr="0032057E" w:rsidRDefault="0032057E" w:rsidP="0032057E">
      <w:pPr>
        <w:numPr>
          <w:ilvl w:val="0"/>
          <w:numId w:val="50"/>
        </w:numPr>
        <w:spacing w:after="200" w:line="360" w:lineRule="auto"/>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Percentage of the population with an income below $1.9, (%) (SDG 1</w:t>
      </w:r>
      <w:proofErr w:type="gramStart"/>
      <w:r w:rsidRPr="0032057E">
        <w:rPr>
          <w:rFonts w:asciiTheme="minorBidi" w:eastAsia="SimSun" w:hAnsiTheme="minorBidi" w:cstheme="minorBidi"/>
          <w:szCs w:val="24"/>
          <w:lang w:val="en-US"/>
        </w:rPr>
        <w:t>);</w:t>
      </w:r>
      <w:proofErr w:type="gramEnd"/>
    </w:p>
    <w:p w14:paraId="30CC867D" w14:textId="77777777" w:rsidR="0032057E" w:rsidRPr="0032057E" w:rsidRDefault="0032057E" w:rsidP="0032057E">
      <w:pPr>
        <w:numPr>
          <w:ilvl w:val="0"/>
          <w:numId w:val="50"/>
        </w:numPr>
        <w:spacing w:after="200" w:line="360" w:lineRule="auto"/>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Neonatal mortality rate (per 1,000 live births) (SDG 3</w:t>
      </w:r>
      <w:proofErr w:type="gramStart"/>
      <w:r w:rsidRPr="0032057E">
        <w:rPr>
          <w:rFonts w:asciiTheme="minorBidi" w:eastAsia="SimSun" w:hAnsiTheme="minorBidi" w:cstheme="minorBidi"/>
          <w:szCs w:val="24"/>
          <w:lang w:val="en-US"/>
        </w:rPr>
        <w:t>);</w:t>
      </w:r>
      <w:proofErr w:type="gramEnd"/>
    </w:p>
    <w:p w14:paraId="31503850" w14:textId="77777777" w:rsidR="0032057E" w:rsidRPr="0032057E" w:rsidRDefault="0032057E" w:rsidP="0032057E">
      <w:pPr>
        <w:numPr>
          <w:ilvl w:val="0"/>
          <w:numId w:val="50"/>
        </w:numPr>
        <w:spacing w:after="200" w:line="360" w:lineRule="auto"/>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Percentage of women in the National Parliament (%) (SDG 5</w:t>
      </w:r>
      <w:proofErr w:type="gramStart"/>
      <w:r w:rsidRPr="0032057E">
        <w:rPr>
          <w:rFonts w:asciiTheme="minorBidi" w:eastAsia="SimSun" w:hAnsiTheme="minorBidi" w:cstheme="minorBidi"/>
          <w:szCs w:val="24"/>
          <w:lang w:val="en-US"/>
        </w:rPr>
        <w:t>);</w:t>
      </w:r>
      <w:proofErr w:type="gramEnd"/>
    </w:p>
    <w:p w14:paraId="6D8D12CD" w14:textId="77777777" w:rsidR="0032057E" w:rsidRPr="00B97121" w:rsidRDefault="0032057E" w:rsidP="0032057E">
      <w:pPr>
        <w:numPr>
          <w:ilvl w:val="0"/>
          <w:numId w:val="50"/>
        </w:numPr>
        <w:spacing w:after="200" w:line="360" w:lineRule="auto"/>
        <w:contextualSpacing/>
        <w:rPr>
          <w:rFonts w:asciiTheme="minorBidi" w:eastAsia="SimSun" w:hAnsiTheme="minorBidi" w:cstheme="minorBidi"/>
          <w:szCs w:val="24"/>
        </w:rPr>
      </w:pPr>
      <w:r w:rsidRPr="00B97121">
        <w:rPr>
          <w:rFonts w:asciiTheme="minorBidi" w:eastAsia="SimSun" w:hAnsiTheme="minorBidi" w:cstheme="minorBidi"/>
          <w:szCs w:val="24"/>
        </w:rPr>
        <w:lastRenderedPageBreak/>
        <w:t>Internet-</w:t>
      </w:r>
      <w:proofErr w:type="spellStart"/>
      <w:r w:rsidRPr="00B97121">
        <w:rPr>
          <w:rFonts w:asciiTheme="minorBidi" w:eastAsia="SimSun" w:hAnsiTheme="minorBidi" w:cstheme="minorBidi"/>
          <w:szCs w:val="24"/>
        </w:rPr>
        <w:t>using</w:t>
      </w:r>
      <w:proofErr w:type="spellEnd"/>
      <w:r w:rsidRPr="00B97121">
        <w:rPr>
          <w:rFonts w:asciiTheme="minorBidi" w:eastAsia="SimSun" w:hAnsiTheme="minorBidi" w:cstheme="minorBidi"/>
          <w:szCs w:val="24"/>
        </w:rPr>
        <w:t xml:space="preserve"> </w:t>
      </w:r>
      <w:proofErr w:type="spellStart"/>
      <w:r w:rsidRPr="00B97121">
        <w:rPr>
          <w:rFonts w:asciiTheme="minorBidi" w:eastAsia="SimSun" w:hAnsiTheme="minorBidi" w:cstheme="minorBidi"/>
          <w:szCs w:val="24"/>
        </w:rPr>
        <w:t>population</w:t>
      </w:r>
      <w:proofErr w:type="spellEnd"/>
      <w:r w:rsidRPr="00B97121">
        <w:rPr>
          <w:rFonts w:asciiTheme="minorBidi" w:eastAsia="SimSun" w:hAnsiTheme="minorBidi" w:cstheme="minorBidi"/>
          <w:szCs w:val="24"/>
        </w:rPr>
        <w:t xml:space="preserve"> (%) (SDG 9);</w:t>
      </w:r>
    </w:p>
    <w:p w14:paraId="58173616" w14:textId="77777777" w:rsidR="0032057E" w:rsidRPr="0032057E" w:rsidRDefault="0032057E" w:rsidP="0032057E">
      <w:pPr>
        <w:numPr>
          <w:ilvl w:val="0"/>
          <w:numId w:val="50"/>
        </w:numPr>
        <w:spacing w:after="200" w:line="360" w:lineRule="auto"/>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Average annual concentration of solid particles with a diameter of less than 2.5 microns (mcg/m3) (SDG 11</w:t>
      </w:r>
      <w:proofErr w:type="gramStart"/>
      <w:r w:rsidRPr="0032057E">
        <w:rPr>
          <w:rFonts w:asciiTheme="minorBidi" w:eastAsia="SimSun" w:hAnsiTheme="minorBidi" w:cstheme="minorBidi"/>
          <w:szCs w:val="24"/>
          <w:lang w:val="en-US"/>
        </w:rPr>
        <w:t>);</w:t>
      </w:r>
      <w:proofErr w:type="gramEnd"/>
    </w:p>
    <w:p w14:paraId="0D82CE53" w14:textId="77777777" w:rsidR="0032057E" w:rsidRPr="0032057E" w:rsidRDefault="0032057E" w:rsidP="0032057E">
      <w:pPr>
        <w:numPr>
          <w:ilvl w:val="0"/>
          <w:numId w:val="50"/>
        </w:numPr>
        <w:spacing w:after="200" w:line="360" w:lineRule="auto"/>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CO</w:t>
      </w:r>
      <w:r w:rsidRPr="0032057E">
        <w:rPr>
          <w:rFonts w:ascii="Cambria Math" w:eastAsia="SimSun" w:hAnsi="Cambria Math" w:cs="Cambria Math"/>
          <w:szCs w:val="24"/>
          <w:lang w:val="en-US"/>
        </w:rPr>
        <w:t>₂</w:t>
      </w:r>
      <w:r w:rsidRPr="0032057E">
        <w:rPr>
          <w:rFonts w:asciiTheme="minorBidi" w:eastAsia="SimSun" w:hAnsiTheme="minorBidi" w:cstheme="minorBidi"/>
          <w:szCs w:val="24"/>
          <w:lang w:val="en-US"/>
        </w:rPr>
        <w:t xml:space="preserve"> emissions from fossil fuel combustion and cement production (tCO2 per capita) (SDG 13</w:t>
      </w:r>
      <w:proofErr w:type="gramStart"/>
      <w:r w:rsidRPr="0032057E">
        <w:rPr>
          <w:rFonts w:asciiTheme="minorBidi" w:eastAsia="SimSun" w:hAnsiTheme="minorBidi" w:cstheme="minorBidi"/>
          <w:szCs w:val="24"/>
          <w:lang w:val="en-US"/>
        </w:rPr>
        <w:t>);</w:t>
      </w:r>
      <w:proofErr w:type="gramEnd"/>
    </w:p>
    <w:p w14:paraId="6E3201F1" w14:textId="77777777" w:rsidR="0032057E" w:rsidRPr="0032057E" w:rsidRDefault="0032057E" w:rsidP="0032057E">
      <w:pPr>
        <w:numPr>
          <w:ilvl w:val="0"/>
          <w:numId w:val="50"/>
        </w:numPr>
        <w:spacing w:after="200" w:line="360" w:lineRule="auto"/>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Survival index of species from the Red Book (0-1), (SDG 15).</w:t>
      </w:r>
    </w:p>
    <w:p w14:paraId="0F8178CF"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Lack of SDG indicators 2, 4, 6, 7, 8, 10, 12, 14, 16, 17 it is caused by a significant number of country passes. The largest share of data omissions is noted for SDG 4 indicators – 63.2% among all the countries represented. Thus, </w:t>
      </w:r>
      <w:proofErr w:type="gramStart"/>
      <w:r w:rsidRPr="0032057E">
        <w:rPr>
          <w:rFonts w:asciiTheme="minorBidi" w:eastAsia="SimSun" w:hAnsiTheme="minorBidi" w:cstheme="minorBidi"/>
          <w:szCs w:val="24"/>
          <w:lang w:val="en-US"/>
        </w:rPr>
        <w:t>in order to</w:t>
      </w:r>
      <w:proofErr w:type="gramEnd"/>
      <w:r w:rsidRPr="0032057E">
        <w:rPr>
          <w:rFonts w:asciiTheme="minorBidi" w:eastAsia="SimSun" w:hAnsiTheme="minorBidi" w:cstheme="minorBidi"/>
          <w:szCs w:val="24"/>
          <w:lang w:val="en-US"/>
        </w:rPr>
        <w:t xml:space="preserve"> determine the greatest closeness between indicators, indicators with a large number of data gaps were excluded. After excluding countries where at least one indicator is missing, an analysis was conducted for 160 countries on 7 SDGs. Statistical characteristics of the indicators are given in Table.1. </w:t>
      </w:r>
    </w:p>
    <w:p w14:paraId="75045338"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p>
    <w:p w14:paraId="41F98A1F" w14:textId="77777777" w:rsidR="0032057E" w:rsidRPr="0032057E" w:rsidRDefault="0032057E" w:rsidP="0032057E">
      <w:pPr>
        <w:spacing w:line="360" w:lineRule="auto"/>
        <w:contextualSpacing/>
        <w:jc w:val="center"/>
        <w:rPr>
          <w:rFonts w:asciiTheme="minorBidi" w:eastAsia="SimSun" w:hAnsiTheme="minorBidi" w:cstheme="minorBidi"/>
          <w:bCs/>
          <w:szCs w:val="24"/>
          <w:lang w:val="en-US"/>
        </w:rPr>
      </w:pPr>
      <w:r w:rsidRPr="0032057E">
        <w:rPr>
          <w:rFonts w:asciiTheme="minorBidi" w:eastAsia="SimSun" w:hAnsiTheme="minorBidi" w:cstheme="minorBidi"/>
          <w:bCs/>
          <w:szCs w:val="24"/>
          <w:lang w:val="en-US"/>
        </w:rPr>
        <w:t>Table 1: Statistical characteristics by components of the Sustainable Development Goals, 2019</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93"/>
        <w:gridCol w:w="1134"/>
        <w:gridCol w:w="1275"/>
        <w:gridCol w:w="1368"/>
      </w:tblGrid>
      <w:tr w:rsidR="0032057E" w:rsidRPr="00B97121" w14:paraId="4BC525FB" w14:textId="77777777" w:rsidTr="00B22C87">
        <w:trPr>
          <w:trHeight w:val="20"/>
          <w:jc w:val="center"/>
        </w:trPr>
        <w:tc>
          <w:tcPr>
            <w:tcW w:w="4531" w:type="dxa"/>
            <w:shd w:val="clear" w:color="auto" w:fill="auto"/>
            <w:noWrap/>
            <w:hideMark/>
          </w:tcPr>
          <w:p w14:paraId="1D34ADFE" w14:textId="77777777" w:rsidR="0032057E" w:rsidRPr="00B97121" w:rsidRDefault="0032057E" w:rsidP="00B22C87">
            <w:pPr>
              <w:spacing w:line="360" w:lineRule="auto"/>
              <w:rPr>
                <w:rFonts w:eastAsia="SimSun"/>
                <w:sz w:val="20"/>
                <w:szCs w:val="20"/>
              </w:rPr>
            </w:pPr>
            <w:proofErr w:type="spellStart"/>
            <w:r w:rsidRPr="00B97121">
              <w:rPr>
                <w:rFonts w:eastAsia="SimSun"/>
                <w:sz w:val="20"/>
                <w:szCs w:val="20"/>
              </w:rPr>
              <w:t>Indicator</w:t>
            </w:r>
            <w:proofErr w:type="spellEnd"/>
          </w:p>
        </w:tc>
        <w:tc>
          <w:tcPr>
            <w:tcW w:w="993" w:type="dxa"/>
            <w:shd w:val="clear" w:color="auto" w:fill="auto"/>
            <w:noWrap/>
            <w:hideMark/>
          </w:tcPr>
          <w:p w14:paraId="09039DE0" w14:textId="77777777" w:rsidR="0032057E" w:rsidRPr="00B97121" w:rsidRDefault="0032057E" w:rsidP="00B22C87">
            <w:pPr>
              <w:spacing w:line="360" w:lineRule="auto"/>
              <w:rPr>
                <w:rFonts w:eastAsia="SimSun"/>
                <w:sz w:val="20"/>
                <w:szCs w:val="20"/>
              </w:rPr>
            </w:pPr>
            <w:r w:rsidRPr="00B97121">
              <w:rPr>
                <w:rFonts w:eastAsia="SimSun"/>
                <w:sz w:val="20"/>
                <w:szCs w:val="20"/>
              </w:rPr>
              <w:t>mean</w:t>
            </w:r>
          </w:p>
        </w:tc>
        <w:tc>
          <w:tcPr>
            <w:tcW w:w="1134" w:type="dxa"/>
            <w:shd w:val="clear" w:color="auto" w:fill="auto"/>
            <w:noWrap/>
            <w:hideMark/>
          </w:tcPr>
          <w:p w14:paraId="6ACC617B" w14:textId="77777777" w:rsidR="0032057E" w:rsidRPr="00B97121" w:rsidRDefault="0032057E" w:rsidP="00B22C87">
            <w:pPr>
              <w:spacing w:line="360" w:lineRule="auto"/>
              <w:rPr>
                <w:rFonts w:eastAsia="SimSun"/>
                <w:sz w:val="20"/>
                <w:szCs w:val="20"/>
              </w:rPr>
            </w:pPr>
            <w:proofErr w:type="spellStart"/>
            <w:r w:rsidRPr="00B97121">
              <w:rPr>
                <w:rFonts w:eastAsia="SimSun"/>
                <w:sz w:val="20"/>
                <w:szCs w:val="20"/>
              </w:rPr>
              <w:t>minimum</w:t>
            </w:r>
            <w:proofErr w:type="spellEnd"/>
          </w:p>
        </w:tc>
        <w:tc>
          <w:tcPr>
            <w:tcW w:w="1275" w:type="dxa"/>
            <w:shd w:val="clear" w:color="auto" w:fill="auto"/>
            <w:noWrap/>
            <w:hideMark/>
          </w:tcPr>
          <w:p w14:paraId="3DC493FC" w14:textId="77777777" w:rsidR="0032057E" w:rsidRPr="00B97121" w:rsidRDefault="0032057E" w:rsidP="00B22C87">
            <w:pPr>
              <w:spacing w:line="360" w:lineRule="auto"/>
              <w:rPr>
                <w:rFonts w:eastAsia="SimSun"/>
                <w:sz w:val="20"/>
                <w:szCs w:val="20"/>
              </w:rPr>
            </w:pPr>
            <w:proofErr w:type="spellStart"/>
            <w:r w:rsidRPr="00B97121">
              <w:rPr>
                <w:rFonts w:eastAsia="SimSun"/>
                <w:sz w:val="20"/>
                <w:szCs w:val="20"/>
              </w:rPr>
              <w:t>maximum</w:t>
            </w:r>
            <w:proofErr w:type="spellEnd"/>
          </w:p>
        </w:tc>
        <w:tc>
          <w:tcPr>
            <w:tcW w:w="1368" w:type="dxa"/>
            <w:shd w:val="clear" w:color="auto" w:fill="auto"/>
            <w:noWrap/>
            <w:hideMark/>
          </w:tcPr>
          <w:p w14:paraId="396DFE64" w14:textId="77777777" w:rsidR="0032057E" w:rsidRPr="00B97121" w:rsidRDefault="0032057E" w:rsidP="00B22C87">
            <w:pPr>
              <w:spacing w:line="360" w:lineRule="auto"/>
              <w:rPr>
                <w:rFonts w:eastAsia="SimSun"/>
                <w:sz w:val="20"/>
                <w:szCs w:val="20"/>
              </w:rPr>
            </w:pPr>
            <w:r w:rsidRPr="00B97121">
              <w:rPr>
                <w:rFonts w:eastAsia="SimSun"/>
                <w:sz w:val="20"/>
                <w:szCs w:val="20"/>
              </w:rPr>
              <w:t xml:space="preserve">standard </w:t>
            </w:r>
            <w:proofErr w:type="spellStart"/>
            <w:r w:rsidRPr="00B97121">
              <w:rPr>
                <w:rFonts w:eastAsia="SimSun"/>
                <w:sz w:val="20"/>
                <w:szCs w:val="20"/>
              </w:rPr>
              <w:t>deviation</w:t>
            </w:r>
            <w:proofErr w:type="spellEnd"/>
          </w:p>
        </w:tc>
      </w:tr>
      <w:tr w:rsidR="0032057E" w:rsidRPr="00B97121" w14:paraId="1AEB0CAE" w14:textId="77777777" w:rsidTr="00B22C87">
        <w:trPr>
          <w:trHeight w:val="20"/>
          <w:jc w:val="center"/>
        </w:trPr>
        <w:tc>
          <w:tcPr>
            <w:tcW w:w="4531" w:type="dxa"/>
            <w:shd w:val="clear" w:color="auto" w:fill="auto"/>
            <w:noWrap/>
            <w:hideMark/>
          </w:tcPr>
          <w:p w14:paraId="654EFE59" w14:textId="77777777" w:rsidR="0032057E" w:rsidRPr="0032057E" w:rsidRDefault="0032057E" w:rsidP="00B22C87">
            <w:pPr>
              <w:spacing w:line="360" w:lineRule="auto"/>
              <w:rPr>
                <w:rFonts w:eastAsia="SimSun"/>
                <w:sz w:val="20"/>
                <w:szCs w:val="20"/>
                <w:lang w:val="en-US"/>
              </w:rPr>
            </w:pPr>
            <w:r w:rsidRPr="0032057E">
              <w:rPr>
                <w:rFonts w:eastAsia="SimSun"/>
                <w:sz w:val="20"/>
                <w:szCs w:val="20"/>
                <w:lang w:val="en-US"/>
              </w:rPr>
              <w:t>Percentage of the population with an income below $1.9, (%) (SDG 1)</w:t>
            </w:r>
          </w:p>
        </w:tc>
        <w:tc>
          <w:tcPr>
            <w:tcW w:w="993" w:type="dxa"/>
            <w:shd w:val="clear" w:color="auto" w:fill="auto"/>
            <w:noWrap/>
            <w:vAlign w:val="bottom"/>
            <w:hideMark/>
          </w:tcPr>
          <w:p w14:paraId="22809951" w14:textId="77777777" w:rsidR="0032057E" w:rsidRPr="00B97121" w:rsidRDefault="0032057E" w:rsidP="00B22C87">
            <w:pPr>
              <w:spacing w:line="360" w:lineRule="auto"/>
              <w:rPr>
                <w:rFonts w:eastAsia="SimSun"/>
                <w:sz w:val="20"/>
                <w:szCs w:val="20"/>
              </w:rPr>
            </w:pPr>
            <w:r w:rsidRPr="00B97121">
              <w:rPr>
                <w:rFonts w:eastAsia="SimSun"/>
                <w:sz w:val="20"/>
                <w:szCs w:val="20"/>
              </w:rPr>
              <w:t>12,70</w:t>
            </w:r>
          </w:p>
        </w:tc>
        <w:tc>
          <w:tcPr>
            <w:tcW w:w="1134" w:type="dxa"/>
            <w:shd w:val="clear" w:color="auto" w:fill="auto"/>
            <w:noWrap/>
            <w:vAlign w:val="bottom"/>
            <w:hideMark/>
          </w:tcPr>
          <w:p w14:paraId="3A866B01" w14:textId="77777777" w:rsidR="0032057E" w:rsidRPr="00B97121" w:rsidRDefault="0032057E" w:rsidP="00B22C87">
            <w:pPr>
              <w:spacing w:line="360" w:lineRule="auto"/>
              <w:rPr>
                <w:rFonts w:eastAsia="SimSun"/>
                <w:sz w:val="20"/>
                <w:szCs w:val="20"/>
              </w:rPr>
            </w:pPr>
            <w:r w:rsidRPr="00B97121">
              <w:rPr>
                <w:rFonts w:eastAsia="SimSun"/>
                <w:sz w:val="20"/>
                <w:szCs w:val="20"/>
              </w:rPr>
              <w:t>0,00</w:t>
            </w:r>
          </w:p>
        </w:tc>
        <w:tc>
          <w:tcPr>
            <w:tcW w:w="1275" w:type="dxa"/>
            <w:shd w:val="clear" w:color="auto" w:fill="auto"/>
            <w:noWrap/>
            <w:vAlign w:val="bottom"/>
          </w:tcPr>
          <w:p w14:paraId="51C3D024" w14:textId="77777777" w:rsidR="0032057E" w:rsidRPr="00B97121" w:rsidRDefault="0032057E" w:rsidP="00B22C87">
            <w:pPr>
              <w:spacing w:line="360" w:lineRule="auto"/>
              <w:rPr>
                <w:rFonts w:eastAsia="SimSun"/>
                <w:sz w:val="20"/>
                <w:szCs w:val="20"/>
              </w:rPr>
            </w:pPr>
            <w:r w:rsidRPr="00B97121">
              <w:rPr>
                <w:rFonts w:eastAsia="SimSun"/>
                <w:sz w:val="20"/>
                <w:szCs w:val="20"/>
              </w:rPr>
              <w:t>83,13</w:t>
            </w:r>
          </w:p>
        </w:tc>
        <w:tc>
          <w:tcPr>
            <w:tcW w:w="1368" w:type="dxa"/>
            <w:shd w:val="clear" w:color="auto" w:fill="auto"/>
            <w:noWrap/>
            <w:vAlign w:val="bottom"/>
          </w:tcPr>
          <w:p w14:paraId="6014D98E" w14:textId="77777777" w:rsidR="0032057E" w:rsidRPr="00B97121" w:rsidRDefault="0032057E" w:rsidP="00B22C87">
            <w:pPr>
              <w:spacing w:line="360" w:lineRule="auto"/>
              <w:rPr>
                <w:rFonts w:eastAsia="SimSun"/>
                <w:sz w:val="20"/>
                <w:szCs w:val="20"/>
              </w:rPr>
            </w:pPr>
            <w:r w:rsidRPr="00B97121">
              <w:rPr>
                <w:rFonts w:eastAsia="SimSun"/>
                <w:sz w:val="20"/>
                <w:szCs w:val="20"/>
              </w:rPr>
              <w:t>20,42</w:t>
            </w:r>
          </w:p>
        </w:tc>
      </w:tr>
      <w:tr w:rsidR="0032057E" w:rsidRPr="00B97121" w14:paraId="62B196C3" w14:textId="77777777" w:rsidTr="00B22C87">
        <w:trPr>
          <w:trHeight w:val="20"/>
          <w:jc w:val="center"/>
        </w:trPr>
        <w:tc>
          <w:tcPr>
            <w:tcW w:w="4531" w:type="dxa"/>
            <w:shd w:val="clear" w:color="auto" w:fill="auto"/>
            <w:noWrap/>
            <w:hideMark/>
          </w:tcPr>
          <w:p w14:paraId="46523EDC" w14:textId="77777777" w:rsidR="0032057E" w:rsidRPr="0032057E" w:rsidRDefault="0032057E" w:rsidP="00B22C87">
            <w:pPr>
              <w:spacing w:line="360" w:lineRule="auto"/>
              <w:rPr>
                <w:rFonts w:eastAsia="SimSun"/>
                <w:sz w:val="20"/>
                <w:szCs w:val="20"/>
                <w:lang w:val="en-US"/>
              </w:rPr>
            </w:pPr>
            <w:r w:rsidRPr="0032057E">
              <w:rPr>
                <w:rFonts w:eastAsia="SimSun"/>
                <w:sz w:val="20"/>
                <w:szCs w:val="20"/>
                <w:lang w:val="en-US"/>
              </w:rPr>
              <w:t>Neonatal mortality rate (per 1,000 live births) (SDG 3)</w:t>
            </w:r>
          </w:p>
        </w:tc>
        <w:tc>
          <w:tcPr>
            <w:tcW w:w="993" w:type="dxa"/>
            <w:shd w:val="clear" w:color="auto" w:fill="auto"/>
            <w:noWrap/>
            <w:vAlign w:val="bottom"/>
            <w:hideMark/>
          </w:tcPr>
          <w:p w14:paraId="5C425AFB" w14:textId="77777777" w:rsidR="0032057E" w:rsidRPr="00B97121" w:rsidRDefault="0032057E" w:rsidP="00B22C87">
            <w:pPr>
              <w:spacing w:line="360" w:lineRule="auto"/>
              <w:rPr>
                <w:rFonts w:eastAsia="SimSun"/>
                <w:sz w:val="20"/>
                <w:szCs w:val="20"/>
              </w:rPr>
            </w:pPr>
            <w:r w:rsidRPr="00B97121">
              <w:rPr>
                <w:rFonts w:eastAsia="SimSun"/>
                <w:sz w:val="20"/>
                <w:szCs w:val="20"/>
              </w:rPr>
              <w:t>12,41</w:t>
            </w:r>
          </w:p>
        </w:tc>
        <w:tc>
          <w:tcPr>
            <w:tcW w:w="1134" w:type="dxa"/>
            <w:shd w:val="clear" w:color="auto" w:fill="auto"/>
            <w:noWrap/>
            <w:vAlign w:val="bottom"/>
            <w:hideMark/>
          </w:tcPr>
          <w:p w14:paraId="78A93FF3" w14:textId="77777777" w:rsidR="0032057E" w:rsidRPr="00B97121" w:rsidRDefault="0032057E" w:rsidP="00B22C87">
            <w:pPr>
              <w:spacing w:line="360" w:lineRule="auto"/>
              <w:rPr>
                <w:rFonts w:eastAsia="SimSun"/>
                <w:sz w:val="20"/>
                <w:szCs w:val="20"/>
              </w:rPr>
            </w:pPr>
            <w:r w:rsidRPr="00B97121">
              <w:rPr>
                <w:rFonts w:eastAsia="SimSun"/>
                <w:sz w:val="20"/>
                <w:szCs w:val="20"/>
              </w:rPr>
              <w:t>0,80</w:t>
            </w:r>
          </w:p>
        </w:tc>
        <w:tc>
          <w:tcPr>
            <w:tcW w:w="1275" w:type="dxa"/>
            <w:shd w:val="clear" w:color="auto" w:fill="auto"/>
            <w:noWrap/>
            <w:vAlign w:val="bottom"/>
            <w:hideMark/>
          </w:tcPr>
          <w:p w14:paraId="10073548" w14:textId="77777777" w:rsidR="0032057E" w:rsidRPr="00B97121" w:rsidRDefault="0032057E" w:rsidP="00B22C87">
            <w:pPr>
              <w:spacing w:line="360" w:lineRule="auto"/>
              <w:rPr>
                <w:rFonts w:eastAsia="SimSun"/>
                <w:sz w:val="20"/>
                <w:szCs w:val="20"/>
              </w:rPr>
            </w:pPr>
            <w:r w:rsidRPr="00B97121">
              <w:rPr>
                <w:rFonts w:eastAsia="SimSun"/>
                <w:sz w:val="20"/>
                <w:szCs w:val="20"/>
              </w:rPr>
              <w:t>42,80</w:t>
            </w:r>
          </w:p>
        </w:tc>
        <w:tc>
          <w:tcPr>
            <w:tcW w:w="1368" w:type="dxa"/>
            <w:shd w:val="clear" w:color="auto" w:fill="auto"/>
            <w:noWrap/>
            <w:vAlign w:val="bottom"/>
            <w:hideMark/>
          </w:tcPr>
          <w:p w14:paraId="7F93C320" w14:textId="77777777" w:rsidR="0032057E" w:rsidRPr="00B97121" w:rsidRDefault="0032057E" w:rsidP="00B22C87">
            <w:pPr>
              <w:spacing w:line="360" w:lineRule="auto"/>
              <w:rPr>
                <w:rFonts w:eastAsia="SimSun"/>
                <w:sz w:val="20"/>
                <w:szCs w:val="20"/>
              </w:rPr>
            </w:pPr>
            <w:r w:rsidRPr="00B97121">
              <w:rPr>
                <w:rFonts w:eastAsia="SimSun"/>
                <w:sz w:val="20"/>
                <w:szCs w:val="20"/>
              </w:rPr>
              <w:t>10,76</w:t>
            </w:r>
          </w:p>
        </w:tc>
      </w:tr>
      <w:tr w:rsidR="0032057E" w:rsidRPr="00B97121" w14:paraId="545BDBE5" w14:textId="77777777" w:rsidTr="00B22C87">
        <w:trPr>
          <w:trHeight w:val="20"/>
          <w:jc w:val="center"/>
        </w:trPr>
        <w:tc>
          <w:tcPr>
            <w:tcW w:w="4531" w:type="dxa"/>
            <w:shd w:val="clear" w:color="auto" w:fill="auto"/>
            <w:noWrap/>
            <w:hideMark/>
          </w:tcPr>
          <w:p w14:paraId="51F1A5A8" w14:textId="77777777" w:rsidR="0032057E" w:rsidRPr="0032057E" w:rsidRDefault="0032057E" w:rsidP="00B22C87">
            <w:pPr>
              <w:spacing w:line="360" w:lineRule="auto"/>
              <w:rPr>
                <w:rFonts w:eastAsia="SimSun"/>
                <w:sz w:val="20"/>
                <w:szCs w:val="20"/>
                <w:lang w:val="en-US"/>
              </w:rPr>
            </w:pPr>
            <w:r w:rsidRPr="0032057E">
              <w:rPr>
                <w:rFonts w:eastAsia="SimSun"/>
                <w:sz w:val="20"/>
                <w:szCs w:val="20"/>
                <w:lang w:val="en-US"/>
              </w:rPr>
              <w:t>Proportion of women in the national Parliament (%) (SDG 5)</w:t>
            </w:r>
          </w:p>
        </w:tc>
        <w:tc>
          <w:tcPr>
            <w:tcW w:w="993" w:type="dxa"/>
            <w:shd w:val="clear" w:color="auto" w:fill="auto"/>
            <w:noWrap/>
            <w:vAlign w:val="bottom"/>
            <w:hideMark/>
          </w:tcPr>
          <w:p w14:paraId="3E6D10AC" w14:textId="77777777" w:rsidR="0032057E" w:rsidRPr="00B97121" w:rsidRDefault="0032057E" w:rsidP="00B22C87">
            <w:pPr>
              <w:spacing w:line="360" w:lineRule="auto"/>
              <w:rPr>
                <w:rFonts w:eastAsia="SimSun"/>
                <w:sz w:val="20"/>
                <w:szCs w:val="20"/>
              </w:rPr>
            </w:pPr>
            <w:r w:rsidRPr="00B97121">
              <w:rPr>
                <w:rFonts w:eastAsia="SimSun"/>
                <w:sz w:val="20"/>
                <w:szCs w:val="20"/>
              </w:rPr>
              <w:t>23,96</w:t>
            </w:r>
          </w:p>
        </w:tc>
        <w:tc>
          <w:tcPr>
            <w:tcW w:w="1134" w:type="dxa"/>
            <w:shd w:val="clear" w:color="auto" w:fill="auto"/>
            <w:noWrap/>
            <w:vAlign w:val="bottom"/>
            <w:hideMark/>
          </w:tcPr>
          <w:p w14:paraId="79256CE0" w14:textId="77777777" w:rsidR="0032057E" w:rsidRPr="00B97121" w:rsidRDefault="0032057E" w:rsidP="00B22C87">
            <w:pPr>
              <w:spacing w:line="360" w:lineRule="auto"/>
              <w:rPr>
                <w:rFonts w:eastAsia="SimSun"/>
                <w:sz w:val="20"/>
                <w:szCs w:val="20"/>
              </w:rPr>
            </w:pPr>
            <w:r w:rsidRPr="00B97121">
              <w:rPr>
                <w:rFonts w:eastAsia="SimSun"/>
                <w:sz w:val="20"/>
                <w:szCs w:val="20"/>
              </w:rPr>
              <w:t>0,00</w:t>
            </w:r>
          </w:p>
        </w:tc>
        <w:tc>
          <w:tcPr>
            <w:tcW w:w="1275" w:type="dxa"/>
            <w:shd w:val="clear" w:color="auto" w:fill="auto"/>
            <w:noWrap/>
            <w:vAlign w:val="bottom"/>
            <w:hideMark/>
          </w:tcPr>
          <w:p w14:paraId="2BCEB7C6" w14:textId="77777777" w:rsidR="0032057E" w:rsidRPr="00B97121" w:rsidRDefault="0032057E" w:rsidP="00B22C87">
            <w:pPr>
              <w:spacing w:line="360" w:lineRule="auto"/>
              <w:rPr>
                <w:rFonts w:eastAsia="SimSun"/>
                <w:sz w:val="20"/>
                <w:szCs w:val="20"/>
              </w:rPr>
            </w:pPr>
            <w:r w:rsidRPr="00B97121">
              <w:rPr>
                <w:rFonts w:eastAsia="SimSun"/>
                <w:sz w:val="20"/>
                <w:szCs w:val="20"/>
              </w:rPr>
              <w:t>61,25</w:t>
            </w:r>
          </w:p>
        </w:tc>
        <w:tc>
          <w:tcPr>
            <w:tcW w:w="1368" w:type="dxa"/>
            <w:shd w:val="clear" w:color="auto" w:fill="auto"/>
            <w:noWrap/>
            <w:vAlign w:val="bottom"/>
            <w:hideMark/>
          </w:tcPr>
          <w:p w14:paraId="346CFE13" w14:textId="77777777" w:rsidR="0032057E" w:rsidRPr="00B97121" w:rsidRDefault="0032057E" w:rsidP="00B22C87">
            <w:pPr>
              <w:spacing w:line="360" w:lineRule="auto"/>
              <w:rPr>
                <w:rFonts w:eastAsia="SimSun"/>
                <w:sz w:val="20"/>
                <w:szCs w:val="20"/>
              </w:rPr>
            </w:pPr>
            <w:r w:rsidRPr="00B97121">
              <w:rPr>
                <w:rFonts w:eastAsia="SimSun"/>
                <w:sz w:val="20"/>
                <w:szCs w:val="20"/>
              </w:rPr>
              <w:t>11,74</w:t>
            </w:r>
          </w:p>
        </w:tc>
      </w:tr>
      <w:tr w:rsidR="0032057E" w:rsidRPr="00B97121" w14:paraId="19B0213A" w14:textId="77777777" w:rsidTr="00B22C87">
        <w:trPr>
          <w:trHeight w:val="20"/>
          <w:jc w:val="center"/>
        </w:trPr>
        <w:tc>
          <w:tcPr>
            <w:tcW w:w="4531" w:type="dxa"/>
            <w:shd w:val="clear" w:color="auto" w:fill="auto"/>
            <w:noWrap/>
            <w:hideMark/>
          </w:tcPr>
          <w:p w14:paraId="630FB47C" w14:textId="77777777" w:rsidR="0032057E" w:rsidRPr="0032057E" w:rsidRDefault="0032057E" w:rsidP="00B22C87">
            <w:pPr>
              <w:spacing w:line="360" w:lineRule="auto"/>
              <w:rPr>
                <w:rFonts w:eastAsia="SimSun"/>
                <w:sz w:val="20"/>
                <w:szCs w:val="20"/>
                <w:lang w:val="en-US"/>
              </w:rPr>
            </w:pPr>
            <w:r w:rsidRPr="0032057E">
              <w:rPr>
                <w:rFonts w:eastAsia="SimSun"/>
                <w:sz w:val="20"/>
                <w:szCs w:val="20"/>
                <w:lang w:val="en-US"/>
              </w:rPr>
              <w:t>Population using the Internet, (%) (SDG 9)</w:t>
            </w:r>
          </w:p>
        </w:tc>
        <w:tc>
          <w:tcPr>
            <w:tcW w:w="993" w:type="dxa"/>
            <w:shd w:val="clear" w:color="auto" w:fill="auto"/>
            <w:noWrap/>
            <w:vAlign w:val="bottom"/>
            <w:hideMark/>
          </w:tcPr>
          <w:p w14:paraId="6C8BE025" w14:textId="77777777" w:rsidR="0032057E" w:rsidRPr="00B97121" w:rsidRDefault="0032057E" w:rsidP="00B22C87">
            <w:pPr>
              <w:spacing w:line="360" w:lineRule="auto"/>
              <w:rPr>
                <w:rFonts w:eastAsia="SimSun"/>
                <w:sz w:val="20"/>
                <w:szCs w:val="20"/>
              </w:rPr>
            </w:pPr>
            <w:r w:rsidRPr="00B97121">
              <w:rPr>
                <w:rFonts w:eastAsia="SimSun"/>
                <w:sz w:val="20"/>
                <w:szCs w:val="20"/>
              </w:rPr>
              <w:t>56,56</w:t>
            </w:r>
          </w:p>
        </w:tc>
        <w:tc>
          <w:tcPr>
            <w:tcW w:w="1134" w:type="dxa"/>
            <w:shd w:val="clear" w:color="auto" w:fill="auto"/>
            <w:noWrap/>
            <w:vAlign w:val="bottom"/>
            <w:hideMark/>
          </w:tcPr>
          <w:p w14:paraId="4D22E93F" w14:textId="77777777" w:rsidR="0032057E" w:rsidRPr="00B97121" w:rsidRDefault="0032057E" w:rsidP="00B22C87">
            <w:pPr>
              <w:spacing w:line="360" w:lineRule="auto"/>
              <w:rPr>
                <w:rFonts w:eastAsia="SimSun"/>
                <w:sz w:val="20"/>
                <w:szCs w:val="20"/>
              </w:rPr>
            </w:pPr>
            <w:r w:rsidRPr="00B97121">
              <w:rPr>
                <w:rFonts w:eastAsia="SimSun"/>
                <w:sz w:val="20"/>
                <w:szCs w:val="20"/>
              </w:rPr>
              <w:t>2,00</w:t>
            </w:r>
          </w:p>
        </w:tc>
        <w:tc>
          <w:tcPr>
            <w:tcW w:w="1275" w:type="dxa"/>
            <w:shd w:val="clear" w:color="auto" w:fill="auto"/>
            <w:noWrap/>
            <w:vAlign w:val="bottom"/>
            <w:hideMark/>
          </w:tcPr>
          <w:p w14:paraId="4F5AEED3" w14:textId="77777777" w:rsidR="0032057E" w:rsidRPr="00B97121" w:rsidRDefault="0032057E" w:rsidP="00B22C87">
            <w:pPr>
              <w:spacing w:line="360" w:lineRule="auto"/>
              <w:rPr>
                <w:rFonts w:eastAsia="SimSun"/>
                <w:sz w:val="20"/>
                <w:szCs w:val="20"/>
              </w:rPr>
            </w:pPr>
            <w:r w:rsidRPr="00B97121">
              <w:rPr>
                <w:rFonts w:eastAsia="SimSun"/>
                <w:sz w:val="20"/>
                <w:szCs w:val="20"/>
              </w:rPr>
              <w:t>99,70</w:t>
            </w:r>
          </w:p>
        </w:tc>
        <w:tc>
          <w:tcPr>
            <w:tcW w:w="1368" w:type="dxa"/>
            <w:shd w:val="clear" w:color="auto" w:fill="auto"/>
            <w:noWrap/>
            <w:vAlign w:val="bottom"/>
            <w:hideMark/>
          </w:tcPr>
          <w:p w14:paraId="6E8905CB" w14:textId="77777777" w:rsidR="0032057E" w:rsidRPr="00B97121" w:rsidRDefault="0032057E" w:rsidP="00B22C87">
            <w:pPr>
              <w:spacing w:line="360" w:lineRule="auto"/>
              <w:rPr>
                <w:rFonts w:eastAsia="SimSun"/>
                <w:sz w:val="20"/>
                <w:szCs w:val="20"/>
              </w:rPr>
            </w:pPr>
            <w:r w:rsidRPr="00B97121">
              <w:rPr>
                <w:rFonts w:eastAsia="SimSun"/>
                <w:sz w:val="20"/>
                <w:szCs w:val="20"/>
              </w:rPr>
              <w:t>29,12</w:t>
            </w:r>
          </w:p>
        </w:tc>
      </w:tr>
      <w:tr w:rsidR="0032057E" w:rsidRPr="00B97121" w14:paraId="007C5FA1" w14:textId="77777777" w:rsidTr="00B22C87">
        <w:trPr>
          <w:trHeight w:val="20"/>
          <w:jc w:val="center"/>
        </w:trPr>
        <w:tc>
          <w:tcPr>
            <w:tcW w:w="4531" w:type="dxa"/>
            <w:shd w:val="clear" w:color="auto" w:fill="auto"/>
            <w:noWrap/>
            <w:hideMark/>
          </w:tcPr>
          <w:p w14:paraId="14F777E1" w14:textId="77777777" w:rsidR="0032057E" w:rsidRPr="0032057E" w:rsidRDefault="0032057E" w:rsidP="00B22C87">
            <w:pPr>
              <w:spacing w:line="360" w:lineRule="auto"/>
              <w:rPr>
                <w:rFonts w:eastAsia="SimSun"/>
                <w:sz w:val="20"/>
                <w:szCs w:val="20"/>
                <w:lang w:val="en-US"/>
              </w:rPr>
            </w:pPr>
            <w:r w:rsidRPr="0032057E">
              <w:rPr>
                <w:rFonts w:eastAsia="SimSun"/>
                <w:sz w:val="20"/>
                <w:szCs w:val="20"/>
                <w:lang w:val="en-US"/>
              </w:rPr>
              <w:t>Average annual concentration of solid particles with diameters less than 2.5 microns (mcg/m3) (SDG 11)</w:t>
            </w:r>
          </w:p>
        </w:tc>
        <w:tc>
          <w:tcPr>
            <w:tcW w:w="993" w:type="dxa"/>
            <w:shd w:val="clear" w:color="auto" w:fill="auto"/>
            <w:noWrap/>
            <w:vAlign w:val="bottom"/>
            <w:hideMark/>
          </w:tcPr>
          <w:p w14:paraId="74BEA2FD" w14:textId="77777777" w:rsidR="0032057E" w:rsidRPr="00B97121" w:rsidRDefault="0032057E" w:rsidP="00B22C87">
            <w:pPr>
              <w:spacing w:line="360" w:lineRule="auto"/>
              <w:rPr>
                <w:rFonts w:eastAsia="SimSun"/>
                <w:sz w:val="20"/>
                <w:szCs w:val="20"/>
              </w:rPr>
            </w:pPr>
            <w:r w:rsidRPr="00B97121">
              <w:rPr>
                <w:rFonts w:eastAsia="SimSun"/>
                <w:sz w:val="20"/>
                <w:szCs w:val="20"/>
              </w:rPr>
              <w:t>28,36</w:t>
            </w:r>
          </w:p>
        </w:tc>
        <w:tc>
          <w:tcPr>
            <w:tcW w:w="1134" w:type="dxa"/>
            <w:shd w:val="clear" w:color="auto" w:fill="auto"/>
            <w:noWrap/>
            <w:vAlign w:val="bottom"/>
            <w:hideMark/>
          </w:tcPr>
          <w:p w14:paraId="507FC336" w14:textId="77777777" w:rsidR="0032057E" w:rsidRPr="00B97121" w:rsidRDefault="0032057E" w:rsidP="00B22C87">
            <w:pPr>
              <w:spacing w:line="360" w:lineRule="auto"/>
              <w:rPr>
                <w:rFonts w:eastAsia="SimSun"/>
                <w:sz w:val="20"/>
                <w:szCs w:val="20"/>
              </w:rPr>
            </w:pPr>
            <w:r w:rsidRPr="00B97121">
              <w:rPr>
                <w:rFonts w:eastAsia="SimSun"/>
                <w:sz w:val="20"/>
                <w:szCs w:val="20"/>
              </w:rPr>
              <w:t>5,54</w:t>
            </w:r>
          </w:p>
        </w:tc>
        <w:tc>
          <w:tcPr>
            <w:tcW w:w="1275" w:type="dxa"/>
            <w:shd w:val="clear" w:color="auto" w:fill="auto"/>
            <w:noWrap/>
            <w:vAlign w:val="bottom"/>
            <w:hideMark/>
          </w:tcPr>
          <w:p w14:paraId="5070DFD5" w14:textId="77777777" w:rsidR="0032057E" w:rsidRPr="00B97121" w:rsidRDefault="0032057E" w:rsidP="00B22C87">
            <w:pPr>
              <w:spacing w:line="360" w:lineRule="auto"/>
              <w:rPr>
                <w:rFonts w:eastAsia="SimSun"/>
                <w:sz w:val="20"/>
                <w:szCs w:val="20"/>
              </w:rPr>
            </w:pPr>
            <w:r w:rsidRPr="00B97121">
              <w:rPr>
                <w:rFonts w:eastAsia="SimSun"/>
                <w:sz w:val="20"/>
                <w:szCs w:val="20"/>
              </w:rPr>
              <w:t>106,12</w:t>
            </w:r>
          </w:p>
        </w:tc>
        <w:tc>
          <w:tcPr>
            <w:tcW w:w="1368" w:type="dxa"/>
            <w:shd w:val="clear" w:color="auto" w:fill="auto"/>
            <w:noWrap/>
            <w:vAlign w:val="bottom"/>
            <w:hideMark/>
          </w:tcPr>
          <w:p w14:paraId="1547D9D4" w14:textId="77777777" w:rsidR="0032057E" w:rsidRPr="00B97121" w:rsidRDefault="0032057E" w:rsidP="00B22C87">
            <w:pPr>
              <w:spacing w:line="360" w:lineRule="auto"/>
              <w:rPr>
                <w:rFonts w:eastAsia="SimSun"/>
                <w:sz w:val="20"/>
                <w:szCs w:val="20"/>
              </w:rPr>
            </w:pPr>
            <w:r w:rsidRPr="00B97121">
              <w:rPr>
                <w:rFonts w:eastAsia="SimSun"/>
                <w:sz w:val="20"/>
                <w:szCs w:val="20"/>
              </w:rPr>
              <w:t>20,80</w:t>
            </w:r>
          </w:p>
        </w:tc>
      </w:tr>
      <w:tr w:rsidR="0032057E" w:rsidRPr="00B97121" w14:paraId="370F0640" w14:textId="77777777" w:rsidTr="00B22C87">
        <w:trPr>
          <w:trHeight w:val="20"/>
          <w:jc w:val="center"/>
        </w:trPr>
        <w:tc>
          <w:tcPr>
            <w:tcW w:w="4531" w:type="dxa"/>
            <w:shd w:val="clear" w:color="auto" w:fill="auto"/>
            <w:noWrap/>
            <w:hideMark/>
          </w:tcPr>
          <w:p w14:paraId="3E6D4D26" w14:textId="77777777" w:rsidR="0032057E" w:rsidRPr="0032057E" w:rsidRDefault="0032057E" w:rsidP="00B22C87">
            <w:pPr>
              <w:spacing w:line="360" w:lineRule="auto"/>
              <w:rPr>
                <w:rFonts w:eastAsia="SimSun"/>
                <w:sz w:val="20"/>
                <w:szCs w:val="20"/>
                <w:lang w:val="en-US"/>
              </w:rPr>
            </w:pPr>
            <w:r w:rsidRPr="0032057E">
              <w:rPr>
                <w:rFonts w:eastAsia="SimSun"/>
                <w:sz w:val="20"/>
                <w:szCs w:val="20"/>
                <w:lang w:val="en-US"/>
              </w:rPr>
              <w:t>CO</w:t>
            </w:r>
            <w:r w:rsidRPr="0032057E">
              <w:rPr>
                <w:rFonts w:ascii="Cambria Math" w:eastAsia="SimSun" w:hAnsi="Cambria Math" w:cs="Cambria Math"/>
                <w:sz w:val="20"/>
                <w:szCs w:val="20"/>
                <w:lang w:val="en-US"/>
              </w:rPr>
              <w:t>₂</w:t>
            </w:r>
            <w:r w:rsidRPr="0032057E">
              <w:rPr>
                <w:rFonts w:eastAsia="SimSun"/>
                <w:sz w:val="20"/>
                <w:szCs w:val="20"/>
                <w:lang w:val="en-US"/>
              </w:rPr>
              <w:t xml:space="preserve"> emissions from fossil fuel combustion and cement production (tCO2 per capita) (SDG 13)</w:t>
            </w:r>
          </w:p>
        </w:tc>
        <w:tc>
          <w:tcPr>
            <w:tcW w:w="993" w:type="dxa"/>
            <w:shd w:val="clear" w:color="auto" w:fill="auto"/>
            <w:noWrap/>
            <w:vAlign w:val="bottom"/>
            <w:hideMark/>
          </w:tcPr>
          <w:p w14:paraId="02358459" w14:textId="77777777" w:rsidR="0032057E" w:rsidRPr="00B97121" w:rsidRDefault="0032057E" w:rsidP="00B22C87">
            <w:pPr>
              <w:spacing w:line="360" w:lineRule="auto"/>
              <w:rPr>
                <w:rFonts w:eastAsia="SimSun"/>
                <w:sz w:val="20"/>
                <w:szCs w:val="20"/>
              </w:rPr>
            </w:pPr>
            <w:r w:rsidRPr="00B97121">
              <w:rPr>
                <w:rFonts w:eastAsia="SimSun"/>
                <w:sz w:val="20"/>
                <w:szCs w:val="20"/>
              </w:rPr>
              <w:t>4,77</w:t>
            </w:r>
          </w:p>
        </w:tc>
        <w:tc>
          <w:tcPr>
            <w:tcW w:w="1134" w:type="dxa"/>
            <w:shd w:val="clear" w:color="auto" w:fill="auto"/>
            <w:noWrap/>
            <w:vAlign w:val="bottom"/>
            <w:hideMark/>
          </w:tcPr>
          <w:p w14:paraId="5A230B98" w14:textId="77777777" w:rsidR="0032057E" w:rsidRPr="00B97121" w:rsidRDefault="0032057E" w:rsidP="00B22C87">
            <w:pPr>
              <w:spacing w:line="360" w:lineRule="auto"/>
              <w:rPr>
                <w:rFonts w:eastAsia="SimSun"/>
                <w:sz w:val="20"/>
                <w:szCs w:val="20"/>
              </w:rPr>
            </w:pPr>
            <w:r w:rsidRPr="00B97121">
              <w:rPr>
                <w:rFonts w:eastAsia="SimSun"/>
                <w:sz w:val="20"/>
                <w:szCs w:val="20"/>
              </w:rPr>
              <w:t>0,03</w:t>
            </w:r>
          </w:p>
        </w:tc>
        <w:tc>
          <w:tcPr>
            <w:tcW w:w="1275" w:type="dxa"/>
            <w:shd w:val="clear" w:color="auto" w:fill="auto"/>
            <w:noWrap/>
            <w:vAlign w:val="bottom"/>
            <w:hideMark/>
          </w:tcPr>
          <w:p w14:paraId="0D80A815" w14:textId="77777777" w:rsidR="0032057E" w:rsidRPr="00B97121" w:rsidRDefault="0032057E" w:rsidP="00B22C87">
            <w:pPr>
              <w:spacing w:line="360" w:lineRule="auto"/>
              <w:rPr>
                <w:rFonts w:eastAsia="SimSun"/>
                <w:sz w:val="20"/>
                <w:szCs w:val="20"/>
              </w:rPr>
            </w:pPr>
            <w:r w:rsidRPr="00B97121">
              <w:rPr>
                <w:rFonts w:eastAsia="SimSun"/>
                <w:sz w:val="20"/>
                <w:szCs w:val="20"/>
              </w:rPr>
              <w:t>38,61</w:t>
            </w:r>
          </w:p>
        </w:tc>
        <w:tc>
          <w:tcPr>
            <w:tcW w:w="1368" w:type="dxa"/>
            <w:shd w:val="clear" w:color="auto" w:fill="auto"/>
            <w:noWrap/>
            <w:vAlign w:val="bottom"/>
            <w:hideMark/>
          </w:tcPr>
          <w:p w14:paraId="1BBCDA4A" w14:textId="77777777" w:rsidR="0032057E" w:rsidRPr="00B97121" w:rsidRDefault="0032057E" w:rsidP="00B22C87">
            <w:pPr>
              <w:spacing w:line="360" w:lineRule="auto"/>
              <w:rPr>
                <w:rFonts w:eastAsia="SimSun"/>
                <w:sz w:val="20"/>
                <w:szCs w:val="20"/>
              </w:rPr>
            </w:pPr>
            <w:r w:rsidRPr="00B97121">
              <w:rPr>
                <w:rFonts w:eastAsia="SimSun"/>
                <w:sz w:val="20"/>
                <w:szCs w:val="20"/>
              </w:rPr>
              <w:t>5,88</w:t>
            </w:r>
          </w:p>
        </w:tc>
      </w:tr>
      <w:tr w:rsidR="0032057E" w:rsidRPr="00B97121" w14:paraId="1BD3819F" w14:textId="77777777" w:rsidTr="00B22C87">
        <w:trPr>
          <w:trHeight w:val="20"/>
          <w:jc w:val="center"/>
        </w:trPr>
        <w:tc>
          <w:tcPr>
            <w:tcW w:w="4531" w:type="dxa"/>
            <w:shd w:val="clear" w:color="auto" w:fill="auto"/>
            <w:noWrap/>
            <w:hideMark/>
          </w:tcPr>
          <w:p w14:paraId="566F9606" w14:textId="77777777" w:rsidR="0032057E" w:rsidRPr="0032057E" w:rsidRDefault="0032057E" w:rsidP="00B22C87">
            <w:pPr>
              <w:spacing w:line="360" w:lineRule="auto"/>
              <w:rPr>
                <w:rFonts w:eastAsia="SimSun"/>
                <w:sz w:val="20"/>
                <w:szCs w:val="20"/>
                <w:lang w:val="en-US"/>
              </w:rPr>
            </w:pPr>
            <w:r w:rsidRPr="0032057E">
              <w:rPr>
                <w:rFonts w:eastAsia="SimSun"/>
                <w:sz w:val="20"/>
                <w:szCs w:val="20"/>
                <w:lang w:val="en-US"/>
              </w:rPr>
              <w:t>Survival index of species from the Red Book (0-1), (SDG 15)</w:t>
            </w:r>
          </w:p>
        </w:tc>
        <w:tc>
          <w:tcPr>
            <w:tcW w:w="993" w:type="dxa"/>
            <w:shd w:val="clear" w:color="auto" w:fill="auto"/>
            <w:noWrap/>
            <w:vAlign w:val="bottom"/>
            <w:hideMark/>
          </w:tcPr>
          <w:p w14:paraId="11DB36AE" w14:textId="77777777" w:rsidR="0032057E" w:rsidRPr="00B97121" w:rsidRDefault="0032057E" w:rsidP="00B22C87">
            <w:pPr>
              <w:spacing w:line="360" w:lineRule="auto"/>
              <w:rPr>
                <w:rFonts w:eastAsia="SimSun"/>
                <w:sz w:val="20"/>
                <w:szCs w:val="20"/>
              </w:rPr>
            </w:pPr>
            <w:r w:rsidRPr="00B97121">
              <w:rPr>
                <w:rFonts w:eastAsia="SimSun"/>
                <w:sz w:val="20"/>
                <w:szCs w:val="20"/>
              </w:rPr>
              <w:t>0,86</w:t>
            </w:r>
          </w:p>
        </w:tc>
        <w:tc>
          <w:tcPr>
            <w:tcW w:w="1134" w:type="dxa"/>
            <w:shd w:val="clear" w:color="auto" w:fill="auto"/>
            <w:noWrap/>
            <w:vAlign w:val="bottom"/>
            <w:hideMark/>
          </w:tcPr>
          <w:p w14:paraId="21CD642A" w14:textId="77777777" w:rsidR="0032057E" w:rsidRPr="00B97121" w:rsidRDefault="0032057E" w:rsidP="00B22C87">
            <w:pPr>
              <w:spacing w:line="360" w:lineRule="auto"/>
              <w:rPr>
                <w:rFonts w:eastAsia="SimSun"/>
                <w:sz w:val="20"/>
                <w:szCs w:val="20"/>
              </w:rPr>
            </w:pPr>
            <w:r w:rsidRPr="00B97121">
              <w:rPr>
                <w:rFonts w:eastAsia="SimSun"/>
                <w:sz w:val="20"/>
                <w:szCs w:val="20"/>
              </w:rPr>
              <w:t>0,41</w:t>
            </w:r>
          </w:p>
        </w:tc>
        <w:tc>
          <w:tcPr>
            <w:tcW w:w="1275" w:type="dxa"/>
            <w:shd w:val="clear" w:color="auto" w:fill="auto"/>
            <w:noWrap/>
            <w:vAlign w:val="bottom"/>
            <w:hideMark/>
          </w:tcPr>
          <w:p w14:paraId="5F886683" w14:textId="77777777" w:rsidR="0032057E" w:rsidRPr="00B97121" w:rsidRDefault="0032057E" w:rsidP="00B22C87">
            <w:pPr>
              <w:spacing w:line="360" w:lineRule="auto"/>
              <w:rPr>
                <w:rFonts w:eastAsia="SimSun"/>
                <w:sz w:val="20"/>
                <w:szCs w:val="20"/>
              </w:rPr>
            </w:pPr>
            <w:r w:rsidRPr="00B97121">
              <w:rPr>
                <w:rFonts w:eastAsia="SimSun"/>
                <w:sz w:val="20"/>
                <w:szCs w:val="20"/>
              </w:rPr>
              <w:t>0,99</w:t>
            </w:r>
          </w:p>
        </w:tc>
        <w:tc>
          <w:tcPr>
            <w:tcW w:w="1368" w:type="dxa"/>
            <w:shd w:val="clear" w:color="auto" w:fill="auto"/>
            <w:noWrap/>
            <w:vAlign w:val="bottom"/>
            <w:hideMark/>
          </w:tcPr>
          <w:p w14:paraId="0ED1A5D4" w14:textId="77777777" w:rsidR="0032057E" w:rsidRPr="00B97121" w:rsidRDefault="0032057E" w:rsidP="00B22C87">
            <w:pPr>
              <w:spacing w:line="360" w:lineRule="auto"/>
              <w:rPr>
                <w:rFonts w:eastAsia="SimSun"/>
                <w:sz w:val="20"/>
                <w:szCs w:val="20"/>
              </w:rPr>
            </w:pPr>
            <w:r w:rsidRPr="00B97121">
              <w:rPr>
                <w:rFonts w:eastAsia="SimSun"/>
                <w:sz w:val="20"/>
                <w:szCs w:val="20"/>
              </w:rPr>
              <w:t>0,10</w:t>
            </w:r>
          </w:p>
        </w:tc>
      </w:tr>
    </w:tbl>
    <w:p w14:paraId="1C206ECE"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Source: authors' calculations based on </w:t>
      </w:r>
      <w:proofErr w:type="spellStart"/>
      <w:r w:rsidRPr="0032057E">
        <w:rPr>
          <w:rFonts w:asciiTheme="minorBidi" w:eastAsia="SimSun" w:hAnsiTheme="minorBidi" w:cstheme="minorBidi"/>
          <w:szCs w:val="24"/>
          <w:lang w:val="en-US"/>
        </w:rPr>
        <w:t>Rosstat</w:t>
      </w:r>
      <w:proofErr w:type="spellEnd"/>
      <w:r w:rsidRPr="0032057E">
        <w:rPr>
          <w:rFonts w:asciiTheme="minorBidi" w:eastAsia="SimSun" w:hAnsiTheme="minorBidi" w:cstheme="minorBidi"/>
          <w:szCs w:val="24"/>
          <w:lang w:val="en-US"/>
        </w:rPr>
        <w:t xml:space="preserve"> data</w:t>
      </w:r>
    </w:p>
    <w:p w14:paraId="23479799"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p>
    <w:p w14:paraId="0C8F9C5B"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Due to the different units of measurement of indicators, the indicators were normalized according to the formula:</w:t>
      </w:r>
    </w:p>
    <w:p w14:paraId="7C6E0561" w14:textId="77777777" w:rsidR="0032057E" w:rsidRPr="00B97121" w:rsidRDefault="00E1701F" w:rsidP="0032057E">
      <w:pPr>
        <w:spacing w:line="360" w:lineRule="auto"/>
        <w:ind w:firstLine="180"/>
        <w:contextualSpacing/>
        <w:rPr>
          <w:rFonts w:asciiTheme="minorBidi" w:eastAsia="SimSun" w:hAnsiTheme="minorBidi" w:cstheme="minorBidi"/>
          <w:szCs w:val="24"/>
        </w:rPr>
      </w:pPr>
      <m:oMathPara>
        <m:oMathParaPr>
          <m:jc m:val="center"/>
        </m:oMathParaPr>
        <m:oMath>
          <m:sSub>
            <m:sSubPr>
              <m:ctrlPr>
                <w:rPr>
                  <w:rFonts w:ascii="Cambria Math" w:eastAsia="SimSun" w:hAnsi="Cambria Math" w:cstheme="minorBidi"/>
                  <w:szCs w:val="24"/>
                </w:rPr>
              </m:ctrlPr>
            </m:sSubPr>
            <m:e>
              <m:r>
                <w:rPr>
                  <w:rFonts w:ascii="Cambria Math" w:eastAsia="SimSun" w:hAnsi="Cambria Math" w:cstheme="minorBidi"/>
                  <w:szCs w:val="24"/>
                </w:rPr>
                <m:t>z</m:t>
              </m:r>
            </m:e>
            <m:sub>
              <m:r>
                <w:rPr>
                  <w:rFonts w:ascii="Cambria Math" w:eastAsia="SimSun" w:hAnsi="Cambria Math" w:cstheme="minorBidi"/>
                  <w:szCs w:val="24"/>
                </w:rPr>
                <m:t>ij</m:t>
              </m:r>
            </m:sub>
          </m:sSub>
          <m:r>
            <m:rPr>
              <m:sty m:val="p"/>
            </m:rPr>
            <w:rPr>
              <w:rFonts w:ascii="Cambria Math" w:eastAsia="SimSun" w:hAnsi="Cambria Math" w:cstheme="minorBidi"/>
              <w:szCs w:val="24"/>
            </w:rPr>
            <m:t>=</m:t>
          </m:r>
          <m:f>
            <m:fPr>
              <m:ctrlPr>
                <w:rPr>
                  <w:rFonts w:ascii="Cambria Math" w:eastAsia="SimSun" w:hAnsi="Cambria Math" w:cstheme="minorBidi"/>
                  <w:szCs w:val="24"/>
                </w:rPr>
              </m:ctrlPr>
            </m:fPr>
            <m:num>
              <m:sSub>
                <m:sSubPr>
                  <m:ctrlPr>
                    <w:rPr>
                      <w:rFonts w:ascii="Cambria Math" w:eastAsia="SimSun" w:hAnsi="Cambria Math" w:cstheme="minorBidi"/>
                      <w:szCs w:val="24"/>
                    </w:rPr>
                  </m:ctrlPr>
                </m:sSubPr>
                <m:e>
                  <m:r>
                    <w:rPr>
                      <w:rFonts w:ascii="Cambria Math" w:eastAsia="SimSun" w:hAnsi="Cambria Math" w:cstheme="minorBidi"/>
                      <w:szCs w:val="24"/>
                    </w:rPr>
                    <m:t>x</m:t>
                  </m:r>
                </m:e>
                <m:sub>
                  <m:r>
                    <w:rPr>
                      <w:rFonts w:ascii="Cambria Math" w:eastAsia="SimSun" w:hAnsi="Cambria Math" w:cstheme="minorBidi"/>
                      <w:szCs w:val="24"/>
                    </w:rPr>
                    <m:t>ij</m:t>
                  </m:r>
                </m:sub>
              </m:sSub>
              <m:r>
                <m:rPr>
                  <m:sty m:val="p"/>
                </m:rPr>
                <w:rPr>
                  <w:rFonts w:ascii="Cambria Math" w:eastAsia="SimSun" w:hAnsi="Cambria Math" w:cstheme="minorBidi"/>
                  <w:szCs w:val="24"/>
                </w:rPr>
                <m:t>-</m:t>
              </m:r>
              <m:sSub>
                <m:sSubPr>
                  <m:ctrlPr>
                    <w:rPr>
                      <w:rFonts w:ascii="Cambria Math" w:eastAsia="SimSun" w:hAnsi="Cambria Math" w:cstheme="minorBidi"/>
                      <w:szCs w:val="24"/>
                    </w:rPr>
                  </m:ctrlPr>
                </m:sSubPr>
                <m:e>
                  <m:acc>
                    <m:accPr>
                      <m:chr m:val="̿"/>
                      <m:ctrlPr>
                        <w:rPr>
                          <w:rFonts w:ascii="Cambria Math" w:eastAsia="SimSun" w:hAnsi="Cambria Math" w:cstheme="minorBidi"/>
                          <w:szCs w:val="24"/>
                        </w:rPr>
                      </m:ctrlPr>
                    </m:accPr>
                    <m:e>
                      <m:r>
                        <w:rPr>
                          <w:rFonts w:ascii="Cambria Math" w:eastAsia="SimSun" w:hAnsi="Cambria Math" w:cstheme="minorBidi"/>
                          <w:szCs w:val="24"/>
                        </w:rPr>
                        <m:t>x</m:t>
                      </m:r>
                    </m:e>
                  </m:acc>
                </m:e>
                <m:sub>
                  <m:r>
                    <w:rPr>
                      <w:rFonts w:ascii="Cambria Math" w:eastAsia="SimSun" w:hAnsi="Cambria Math" w:cstheme="minorBidi"/>
                      <w:szCs w:val="24"/>
                    </w:rPr>
                    <m:t>j</m:t>
                  </m:r>
                </m:sub>
              </m:sSub>
            </m:num>
            <m:den>
              <m:sSub>
                <m:sSubPr>
                  <m:ctrlPr>
                    <w:rPr>
                      <w:rFonts w:ascii="Cambria Math" w:eastAsia="SimSun" w:hAnsi="Cambria Math" w:cstheme="minorBidi"/>
                      <w:szCs w:val="24"/>
                    </w:rPr>
                  </m:ctrlPr>
                </m:sSubPr>
                <m:e>
                  <m:r>
                    <w:rPr>
                      <w:rFonts w:ascii="Cambria Math" w:eastAsia="SimSun" w:hAnsi="Cambria Math" w:cstheme="minorBidi"/>
                      <w:szCs w:val="24"/>
                    </w:rPr>
                    <m:t>s</m:t>
                  </m:r>
                </m:e>
                <m:sub>
                  <m:r>
                    <w:rPr>
                      <w:rFonts w:ascii="Cambria Math" w:eastAsia="SimSun" w:hAnsi="Cambria Math" w:cstheme="minorBidi"/>
                      <w:szCs w:val="24"/>
                    </w:rPr>
                    <m:t>j</m:t>
                  </m:r>
                </m:sub>
              </m:sSub>
            </m:den>
          </m:f>
        </m:oMath>
      </m:oMathPara>
    </w:p>
    <w:p w14:paraId="23D14E87"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proofErr w:type="spellStart"/>
      <w:r w:rsidRPr="0032057E">
        <w:rPr>
          <w:rFonts w:asciiTheme="minorBidi" w:eastAsia="SimSun" w:hAnsiTheme="minorBidi" w:cstheme="minorBidi"/>
          <w:szCs w:val="24"/>
          <w:lang w:val="en-US"/>
        </w:rPr>
        <w:t>zij</w:t>
      </w:r>
      <w:proofErr w:type="spellEnd"/>
      <w:r w:rsidRPr="0032057E">
        <w:rPr>
          <w:rFonts w:asciiTheme="minorBidi" w:eastAsia="SimSun" w:hAnsiTheme="minorBidi" w:cstheme="minorBidi"/>
          <w:szCs w:val="24"/>
          <w:lang w:val="en-US"/>
        </w:rPr>
        <w:t xml:space="preserve"> – normalized value of attribute j for district </w:t>
      </w:r>
      <w:proofErr w:type="spellStart"/>
      <w:proofErr w:type="gramStart"/>
      <w:r w:rsidRPr="0032057E">
        <w:rPr>
          <w:rFonts w:asciiTheme="minorBidi" w:eastAsia="SimSun" w:hAnsiTheme="minorBidi" w:cstheme="minorBidi"/>
          <w:szCs w:val="24"/>
          <w:lang w:val="en-US"/>
        </w:rPr>
        <w:t>i</w:t>
      </w:r>
      <w:proofErr w:type="spellEnd"/>
      <w:r w:rsidRPr="0032057E">
        <w:rPr>
          <w:rFonts w:asciiTheme="minorBidi" w:eastAsia="SimSun" w:hAnsiTheme="minorBidi" w:cstheme="minorBidi"/>
          <w:szCs w:val="24"/>
          <w:lang w:val="en-US"/>
        </w:rPr>
        <w:t>;</w:t>
      </w:r>
      <w:proofErr w:type="gramEnd"/>
    </w:p>
    <w:p w14:paraId="2FBE6749"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proofErr w:type="spellStart"/>
      <w:r w:rsidRPr="0032057E">
        <w:rPr>
          <w:rFonts w:asciiTheme="minorBidi" w:eastAsia="SimSun" w:hAnsiTheme="minorBidi" w:cstheme="minorBidi"/>
          <w:szCs w:val="24"/>
          <w:lang w:val="en-US"/>
        </w:rPr>
        <w:t>xij</w:t>
      </w:r>
      <w:proofErr w:type="spellEnd"/>
      <w:r w:rsidRPr="0032057E">
        <w:rPr>
          <w:rFonts w:asciiTheme="minorBidi" w:eastAsia="SimSun" w:hAnsiTheme="minorBidi" w:cstheme="minorBidi"/>
          <w:szCs w:val="24"/>
          <w:lang w:val="en-US"/>
        </w:rPr>
        <w:t xml:space="preserve"> – the value of attribute j for district </w:t>
      </w:r>
      <w:proofErr w:type="spellStart"/>
      <w:proofErr w:type="gramStart"/>
      <w:r w:rsidRPr="0032057E">
        <w:rPr>
          <w:rFonts w:asciiTheme="minorBidi" w:eastAsia="SimSun" w:hAnsiTheme="minorBidi" w:cstheme="minorBidi"/>
          <w:szCs w:val="24"/>
          <w:lang w:val="en-US"/>
        </w:rPr>
        <w:t>i</w:t>
      </w:r>
      <w:proofErr w:type="spellEnd"/>
      <w:r w:rsidRPr="0032057E">
        <w:rPr>
          <w:rFonts w:asciiTheme="minorBidi" w:eastAsia="SimSun" w:hAnsiTheme="minorBidi" w:cstheme="minorBidi"/>
          <w:szCs w:val="24"/>
          <w:lang w:val="en-US"/>
        </w:rPr>
        <w:t>;</w:t>
      </w:r>
      <w:proofErr w:type="gramEnd"/>
    </w:p>
    <w:p w14:paraId="368D37FB" w14:textId="77777777" w:rsidR="0032057E" w:rsidRPr="0032057E" w:rsidRDefault="00E1701F" w:rsidP="0032057E">
      <w:pPr>
        <w:spacing w:line="360" w:lineRule="auto"/>
        <w:ind w:firstLine="180"/>
        <w:contextualSpacing/>
        <w:rPr>
          <w:rFonts w:asciiTheme="minorBidi" w:eastAsia="SimSun" w:hAnsiTheme="minorBidi" w:cstheme="minorBidi"/>
          <w:szCs w:val="24"/>
          <w:lang w:val="en-US"/>
        </w:rPr>
      </w:pPr>
      <m:oMath>
        <m:acc>
          <m:accPr>
            <m:chr m:val="̿"/>
            <m:ctrlPr>
              <w:rPr>
                <w:rFonts w:ascii="Cambria Math" w:eastAsia="SimSun" w:hAnsi="Cambria Math" w:cstheme="minorBidi"/>
                <w:szCs w:val="24"/>
              </w:rPr>
            </m:ctrlPr>
          </m:accPr>
          <m:e>
            <m:sSub>
              <m:sSubPr>
                <m:ctrlPr>
                  <w:rPr>
                    <w:rFonts w:ascii="Cambria Math" w:eastAsia="SimSun" w:hAnsi="Cambria Math" w:cstheme="minorBidi"/>
                    <w:szCs w:val="24"/>
                  </w:rPr>
                </m:ctrlPr>
              </m:sSubPr>
              <m:e>
                <m:r>
                  <w:rPr>
                    <w:rFonts w:ascii="Cambria Math" w:eastAsia="SimSun" w:hAnsi="Cambria Math" w:cstheme="minorBidi"/>
                    <w:szCs w:val="24"/>
                  </w:rPr>
                  <m:t>x</m:t>
                </m:r>
              </m:e>
              <m:sub>
                <m:r>
                  <w:rPr>
                    <w:rFonts w:ascii="Cambria Math" w:eastAsia="SimSun" w:hAnsi="Cambria Math" w:cstheme="minorBidi"/>
                    <w:szCs w:val="24"/>
                  </w:rPr>
                  <m:t>j</m:t>
                </m:r>
              </m:sub>
            </m:sSub>
          </m:e>
        </m:acc>
      </m:oMath>
      <w:r w:rsidR="0032057E" w:rsidRPr="0032057E">
        <w:rPr>
          <w:rFonts w:asciiTheme="minorBidi" w:eastAsia="SimSun" w:hAnsiTheme="minorBidi" w:cstheme="minorBidi"/>
          <w:szCs w:val="24"/>
          <w:lang w:val="en-US"/>
        </w:rPr>
        <w:t xml:space="preserve">- the average value of the attribute </w:t>
      </w:r>
      <w:proofErr w:type="gramStart"/>
      <w:r w:rsidR="0032057E" w:rsidRPr="0032057E">
        <w:rPr>
          <w:rFonts w:asciiTheme="minorBidi" w:eastAsia="SimSun" w:hAnsiTheme="minorBidi" w:cstheme="minorBidi"/>
          <w:szCs w:val="24"/>
          <w:lang w:val="en-US"/>
        </w:rPr>
        <w:t>j;</w:t>
      </w:r>
      <w:proofErr w:type="gramEnd"/>
    </w:p>
    <w:p w14:paraId="62A97791"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proofErr w:type="spellStart"/>
      <w:r w:rsidRPr="0032057E">
        <w:rPr>
          <w:rFonts w:asciiTheme="minorBidi" w:eastAsia="SimSun" w:hAnsiTheme="minorBidi" w:cstheme="minorBidi"/>
          <w:szCs w:val="24"/>
          <w:lang w:val="en-US"/>
        </w:rPr>
        <w:t>Sj</w:t>
      </w:r>
      <w:proofErr w:type="spellEnd"/>
      <w:r w:rsidRPr="0032057E">
        <w:rPr>
          <w:rFonts w:asciiTheme="minorBidi" w:eastAsia="SimSun" w:hAnsiTheme="minorBidi" w:cstheme="minorBidi"/>
          <w:szCs w:val="24"/>
          <w:lang w:val="en-US"/>
        </w:rPr>
        <w:t xml:space="preserve"> – the standard deviation of the attribute j. </w:t>
      </w:r>
    </w:p>
    <w:p w14:paraId="1A5CD849"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Based on the selected indicators, the Ward method conducted clustering of countries for two periods 2015 and 2019.</w:t>
      </w:r>
    </w:p>
    <w:p w14:paraId="76E21D7E"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p>
    <w:p w14:paraId="76239299" w14:textId="489965D3" w:rsidR="000C442E" w:rsidRPr="000C442E" w:rsidRDefault="000C442E" w:rsidP="000C442E">
      <w:pPr>
        <w:spacing w:line="360" w:lineRule="auto"/>
        <w:contextualSpacing/>
        <w:rPr>
          <w:rFonts w:asciiTheme="minorBidi" w:eastAsia="SimSun" w:hAnsiTheme="minorBidi" w:cstheme="minorBidi"/>
          <w:b/>
          <w:bCs/>
          <w:szCs w:val="24"/>
          <w:lang w:val="en-US"/>
        </w:rPr>
      </w:pPr>
      <w:proofErr w:type="spellStart"/>
      <w:r w:rsidRPr="000C442E">
        <w:rPr>
          <w:rFonts w:asciiTheme="minorBidi" w:eastAsia="SimSun" w:hAnsiTheme="minorBidi" w:cstheme="minorBidi"/>
          <w:b/>
          <w:bCs/>
          <w:szCs w:val="24"/>
          <w:lang w:val="en-US"/>
        </w:rPr>
        <w:t>Result</w:t>
      </w:r>
      <w:r w:rsidR="00035892">
        <w:rPr>
          <w:rFonts w:asciiTheme="minorBidi" w:eastAsia="SimSun" w:hAnsiTheme="minorBidi" w:cstheme="minorBidi"/>
          <w:b/>
          <w:bCs/>
          <w:szCs w:val="24"/>
          <w:lang w:val="en-US"/>
        </w:rPr>
        <w:t>ado</w:t>
      </w:r>
      <w:r w:rsidRPr="000C442E">
        <w:rPr>
          <w:rFonts w:asciiTheme="minorBidi" w:eastAsia="SimSun" w:hAnsiTheme="minorBidi" w:cstheme="minorBidi"/>
          <w:b/>
          <w:bCs/>
          <w:szCs w:val="24"/>
          <w:lang w:val="en-US"/>
        </w:rPr>
        <w:t>s</w:t>
      </w:r>
      <w:proofErr w:type="spellEnd"/>
      <w:r w:rsidRPr="000C442E">
        <w:rPr>
          <w:rFonts w:asciiTheme="minorBidi" w:eastAsia="SimSun" w:hAnsiTheme="minorBidi" w:cstheme="minorBidi"/>
          <w:b/>
          <w:bCs/>
          <w:szCs w:val="24"/>
          <w:lang w:val="en-US"/>
        </w:rPr>
        <w:t xml:space="preserve"> and Discussion</w:t>
      </w:r>
    </w:p>
    <w:p w14:paraId="2BB6C73F"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There is a certain synergistic effect between the individual SDGs. The progress and achievement of the SDGs in the future will depend on whether synergies and trade-offs can be identified and eliminated. Thus, poverty, high income differentiation by income level can restrain technological development, hinder the creation of high-tech jobs. And vice versa, they may, if not hinder the development of poverty. Statistical characteristics of the components of the Sustainable Development Goals for 2019 are presented in Table 2.</w:t>
      </w:r>
    </w:p>
    <w:p w14:paraId="1E0690EF" w14:textId="77777777" w:rsidR="0032057E" w:rsidRPr="0032057E" w:rsidRDefault="0032057E" w:rsidP="0032057E">
      <w:pPr>
        <w:tabs>
          <w:tab w:val="left" w:pos="426"/>
          <w:tab w:val="left" w:pos="567"/>
        </w:tabs>
        <w:spacing w:line="360" w:lineRule="auto"/>
        <w:contextualSpacing/>
        <w:rPr>
          <w:rFonts w:asciiTheme="minorBidi" w:eastAsia="SimSun" w:hAnsiTheme="minorBidi" w:cstheme="minorBidi"/>
          <w:b/>
          <w:szCs w:val="24"/>
          <w:lang w:val="en-US"/>
        </w:rPr>
      </w:pPr>
    </w:p>
    <w:p w14:paraId="7CF2DA84" w14:textId="77777777" w:rsidR="0032057E" w:rsidRPr="0032057E" w:rsidRDefault="0032057E" w:rsidP="0032057E">
      <w:pPr>
        <w:tabs>
          <w:tab w:val="left" w:pos="426"/>
          <w:tab w:val="left" w:pos="567"/>
        </w:tabs>
        <w:spacing w:line="360" w:lineRule="auto"/>
        <w:contextualSpacing/>
        <w:jc w:val="center"/>
        <w:rPr>
          <w:rFonts w:asciiTheme="minorBidi" w:eastAsia="SimSun" w:hAnsiTheme="minorBidi" w:cstheme="minorBidi"/>
          <w:szCs w:val="24"/>
          <w:lang w:val="en-US"/>
        </w:rPr>
      </w:pPr>
      <w:r w:rsidRPr="0032057E">
        <w:rPr>
          <w:rFonts w:asciiTheme="minorBidi" w:eastAsia="SimSun" w:hAnsiTheme="minorBidi" w:cstheme="minorBidi"/>
          <w:bCs/>
          <w:szCs w:val="24"/>
          <w:lang w:val="en-US"/>
        </w:rPr>
        <w:t>Table 2:</w:t>
      </w:r>
      <w:r w:rsidRPr="0032057E">
        <w:rPr>
          <w:rFonts w:asciiTheme="minorBidi" w:eastAsia="SimSun" w:hAnsiTheme="minorBidi" w:cstheme="minorBidi"/>
          <w:b/>
          <w:szCs w:val="24"/>
          <w:lang w:val="en-US"/>
        </w:rPr>
        <w:t xml:space="preserve"> </w:t>
      </w:r>
      <w:r w:rsidRPr="0032057E">
        <w:rPr>
          <w:rFonts w:asciiTheme="minorBidi" w:eastAsia="SimSun" w:hAnsiTheme="minorBidi" w:cstheme="minorBidi"/>
          <w:szCs w:val="24"/>
          <w:lang w:val="en-US"/>
        </w:rPr>
        <w:t>Correlation matrix between indicators of the Sustainable Development Goals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086"/>
        <w:gridCol w:w="1086"/>
        <w:gridCol w:w="1086"/>
        <w:gridCol w:w="1086"/>
        <w:gridCol w:w="1086"/>
        <w:gridCol w:w="1086"/>
        <w:gridCol w:w="1087"/>
      </w:tblGrid>
      <w:tr w:rsidR="0032057E" w:rsidRPr="00B97121" w14:paraId="481FAEA8" w14:textId="77777777" w:rsidTr="00B22C87">
        <w:trPr>
          <w:trHeight w:val="20"/>
          <w:jc w:val="center"/>
        </w:trPr>
        <w:tc>
          <w:tcPr>
            <w:tcW w:w="1696" w:type="dxa"/>
            <w:shd w:val="clear" w:color="auto" w:fill="auto"/>
            <w:vAlign w:val="bottom"/>
            <w:hideMark/>
          </w:tcPr>
          <w:p w14:paraId="0BB5F4EA" w14:textId="77777777" w:rsidR="0032057E" w:rsidRPr="0032057E" w:rsidRDefault="0032057E" w:rsidP="00B22C87">
            <w:pPr>
              <w:tabs>
                <w:tab w:val="left" w:pos="426"/>
                <w:tab w:val="left" w:pos="567"/>
              </w:tabs>
              <w:spacing w:line="360" w:lineRule="auto"/>
              <w:contextualSpacing/>
              <w:rPr>
                <w:rFonts w:asciiTheme="minorBidi" w:eastAsia="SimSun" w:hAnsiTheme="minorBidi" w:cstheme="minorBidi"/>
                <w:sz w:val="20"/>
                <w:szCs w:val="20"/>
                <w:lang w:val="en-US"/>
              </w:rPr>
            </w:pPr>
            <w:r w:rsidRPr="0032057E">
              <w:rPr>
                <w:rFonts w:asciiTheme="minorBidi" w:eastAsia="SimSun" w:hAnsiTheme="minorBidi" w:cstheme="minorBidi"/>
                <w:sz w:val="20"/>
                <w:szCs w:val="20"/>
                <w:lang w:val="en-US"/>
              </w:rPr>
              <w:t> </w:t>
            </w:r>
          </w:p>
        </w:tc>
        <w:tc>
          <w:tcPr>
            <w:tcW w:w="1086" w:type="dxa"/>
            <w:shd w:val="clear" w:color="auto" w:fill="auto"/>
            <w:vAlign w:val="bottom"/>
            <w:hideMark/>
          </w:tcPr>
          <w:p w14:paraId="5E816B54"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Indicator 1</w:t>
            </w:r>
          </w:p>
        </w:tc>
        <w:tc>
          <w:tcPr>
            <w:tcW w:w="1086" w:type="dxa"/>
            <w:shd w:val="clear" w:color="auto" w:fill="auto"/>
            <w:vAlign w:val="bottom"/>
            <w:hideMark/>
          </w:tcPr>
          <w:p w14:paraId="25FF69CE"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Indicator 3</w:t>
            </w:r>
          </w:p>
        </w:tc>
        <w:tc>
          <w:tcPr>
            <w:tcW w:w="1086" w:type="dxa"/>
            <w:shd w:val="clear" w:color="auto" w:fill="auto"/>
            <w:vAlign w:val="bottom"/>
            <w:hideMark/>
          </w:tcPr>
          <w:p w14:paraId="528ADA14"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Indicator 5</w:t>
            </w:r>
          </w:p>
        </w:tc>
        <w:tc>
          <w:tcPr>
            <w:tcW w:w="1086" w:type="dxa"/>
            <w:shd w:val="clear" w:color="auto" w:fill="auto"/>
            <w:vAlign w:val="bottom"/>
            <w:hideMark/>
          </w:tcPr>
          <w:p w14:paraId="33DD0DBA"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Indicator 9</w:t>
            </w:r>
          </w:p>
        </w:tc>
        <w:tc>
          <w:tcPr>
            <w:tcW w:w="1086" w:type="dxa"/>
            <w:shd w:val="clear" w:color="auto" w:fill="auto"/>
            <w:vAlign w:val="bottom"/>
            <w:hideMark/>
          </w:tcPr>
          <w:p w14:paraId="426477F4"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Indicator 11</w:t>
            </w:r>
          </w:p>
        </w:tc>
        <w:tc>
          <w:tcPr>
            <w:tcW w:w="1086" w:type="dxa"/>
            <w:shd w:val="clear" w:color="auto" w:fill="auto"/>
            <w:vAlign w:val="bottom"/>
            <w:hideMark/>
          </w:tcPr>
          <w:p w14:paraId="235AAE40"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Indicator 13</w:t>
            </w:r>
          </w:p>
        </w:tc>
        <w:tc>
          <w:tcPr>
            <w:tcW w:w="1087" w:type="dxa"/>
            <w:shd w:val="clear" w:color="auto" w:fill="auto"/>
            <w:vAlign w:val="bottom"/>
            <w:hideMark/>
          </w:tcPr>
          <w:p w14:paraId="68DB8239"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Indicator 15</w:t>
            </w:r>
          </w:p>
        </w:tc>
      </w:tr>
      <w:tr w:rsidR="0032057E" w:rsidRPr="00B97121" w14:paraId="07948CC5" w14:textId="77777777" w:rsidTr="00B22C87">
        <w:trPr>
          <w:trHeight w:val="20"/>
          <w:jc w:val="center"/>
        </w:trPr>
        <w:tc>
          <w:tcPr>
            <w:tcW w:w="1696" w:type="dxa"/>
            <w:shd w:val="clear" w:color="auto" w:fill="auto"/>
            <w:hideMark/>
          </w:tcPr>
          <w:p w14:paraId="027C36BB"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SDG Indicator 1</w:t>
            </w:r>
          </w:p>
        </w:tc>
        <w:tc>
          <w:tcPr>
            <w:tcW w:w="1086" w:type="dxa"/>
            <w:shd w:val="clear" w:color="auto" w:fill="auto"/>
            <w:noWrap/>
            <w:vAlign w:val="center"/>
            <w:hideMark/>
          </w:tcPr>
          <w:p w14:paraId="724C5349"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1,000</w:t>
            </w:r>
          </w:p>
        </w:tc>
        <w:tc>
          <w:tcPr>
            <w:tcW w:w="1086" w:type="dxa"/>
            <w:shd w:val="clear" w:color="auto" w:fill="auto"/>
            <w:noWrap/>
            <w:vAlign w:val="center"/>
            <w:hideMark/>
          </w:tcPr>
          <w:p w14:paraId="75240FEE"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0,708</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03840A56"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-0,133</w:t>
            </w:r>
          </w:p>
        </w:tc>
        <w:tc>
          <w:tcPr>
            <w:tcW w:w="1086" w:type="dxa"/>
            <w:shd w:val="clear" w:color="auto" w:fill="auto"/>
            <w:noWrap/>
            <w:vAlign w:val="center"/>
            <w:hideMark/>
          </w:tcPr>
          <w:p w14:paraId="7B8D35DE"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-0,741</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7358816D"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0,348</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256A3580"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-0,420</w:t>
            </w:r>
            <w:r w:rsidRPr="00B97121">
              <w:rPr>
                <w:rFonts w:asciiTheme="minorBidi" w:eastAsia="SimSun" w:hAnsiTheme="minorBidi" w:cstheme="minorBidi"/>
                <w:sz w:val="20"/>
                <w:szCs w:val="20"/>
                <w:vertAlign w:val="superscript"/>
                <w:lang w:val="ru-RU"/>
              </w:rPr>
              <w:t>**</w:t>
            </w:r>
          </w:p>
        </w:tc>
        <w:tc>
          <w:tcPr>
            <w:tcW w:w="1087" w:type="dxa"/>
            <w:shd w:val="clear" w:color="auto" w:fill="auto"/>
            <w:noWrap/>
            <w:vAlign w:val="center"/>
            <w:hideMark/>
          </w:tcPr>
          <w:p w14:paraId="76932F90"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0,074</w:t>
            </w:r>
          </w:p>
        </w:tc>
      </w:tr>
      <w:tr w:rsidR="0032057E" w:rsidRPr="00B97121" w14:paraId="11587636" w14:textId="77777777" w:rsidTr="00B22C87">
        <w:trPr>
          <w:trHeight w:val="20"/>
          <w:jc w:val="center"/>
        </w:trPr>
        <w:tc>
          <w:tcPr>
            <w:tcW w:w="1696" w:type="dxa"/>
            <w:shd w:val="clear" w:color="auto" w:fill="auto"/>
            <w:hideMark/>
          </w:tcPr>
          <w:p w14:paraId="68E912F1"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SDG Indicator 3</w:t>
            </w:r>
          </w:p>
        </w:tc>
        <w:tc>
          <w:tcPr>
            <w:tcW w:w="1086" w:type="dxa"/>
            <w:shd w:val="clear" w:color="auto" w:fill="auto"/>
            <w:noWrap/>
            <w:vAlign w:val="center"/>
            <w:hideMark/>
          </w:tcPr>
          <w:p w14:paraId="50889C4A"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0,708</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23E09C93"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1,000</w:t>
            </w:r>
          </w:p>
        </w:tc>
        <w:tc>
          <w:tcPr>
            <w:tcW w:w="1086" w:type="dxa"/>
            <w:shd w:val="clear" w:color="auto" w:fill="auto"/>
            <w:noWrap/>
            <w:vAlign w:val="center"/>
            <w:hideMark/>
          </w:tcPr>
          <w:p w14:paraId="7AE37722"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-0,264</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035E5B5A"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-0,836</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55E332E2"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0,555</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0823E1DF"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-0,533</w:t>
            </w:r>
            <w:r w:rsidRPr="00B97121">
              <w:rPr>
                <w:rFonts w:asciiTheme="minorBidi" w:eastAsia="SimSun" w:hAnsiTheme="minorBidi" w:cstheme="minorBidi"/>
                <w:sz w:val="20"/>
                <w:szCs w:val="20"/>
                <w:vertAlign w:val="superscript"/>
                <w:lang w:val="ru-RU"/>
              </w:rPr>
              <w:t>**</w:t>
            </w:r>
          </w:p>
        </w:tc>
        <w:tc>
          <w:tcPr>
            <w:tcW w:w="1087" w:type="dxa"/>
            <w:shd w:val="clear" w:color="auto" w:fill="auto"/>
            <w:noWrap/>
            <w:vAlign w:val="center"/>
            <w:hideMark/>
          </w:tcPr>
          <w:p w14:paraId="639CCC5A"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0,033</w:t>
            </w:r>
          </w:p>
        </w:tc>
      </w:tr>
      <w:tr w:rsidR="0032057E" w:rsidRPr="00B97121" w14:paraId="236AFFC6" w14:textId="77777777" w:rsidTr="00B22C87">
        <w:trPr>
          <w:trHeight w:val="20"/>
          <w:jc w:val="center"/>
        </w:trPr>
        <w:tc>
          <w:tcPr>
            <w:tcW w:w="1696" w:type="dxa"/>
            <w:shd w:val="clear" w:color="auto" w:fill="auto"/>
            <w:hideMark/>
          </w:tcPr>
          <w:p w14:paraId="09BB9D1C"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SDG Indicator 5</w:t>
            </w:r>
          </w:p>
        </w:tc>
        <w:tc>
          <w:tcPr>
            <w:tcW w:w="1086" w:type="dxa"/>
            <w:shd w:val="clear" w:color="auto" w:fill="auto"/>
            <w:noWrap/>
            <w:vAlign w:val="center"/>
            <w:hideMark/>
          </w:tcPr>
          <w:p w14:paraId="7D86E414"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-0,133</w:t>
            </w:r>
          </w:p>
        </w:tc>
        <w:tc>
          <w:tcPr>
            <w:tcW w:w="1086" w:type="dxa"/>
            <w:shd w:val="clear" w:color="auto" w:fill="auto"/>
            <w:noWrap/>
            <w:vAlign w:val="center"/>
            <w:hideMark/>
          </w:tcPr>
          <w:p w14:paraId="3AE8DA36"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-0,264</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120828B4"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1,000</w:t>
            </w:r>
          </w:p>
        </w:tc>
        <w:tc>
          <w:tcPr>
            <w:tcW w:w="1086" w:type="dxa"/>
            <w:shd w:val="clear" w:color="auto" w:fill="auto"/>
            <w:noWrap/>
            <w:vAlign w:val="center"/>
            <w:hideMark/>
          </w:tcPr>
          <w:p w14:paraId="5E0E481F"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0,318</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64F1B915"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-0,153</w:t>
            </w:r>
          </w:p>
        </w:tc>
        <w:tc>
          <w:tcPr>
            <w:tcW w:w="1086" w:type="dxa"/>
            <w:shd w:val="clear" w:color="auto" w:fill="auto"/>
            <w:noWrap/>
            <w:vAlign w:val="center"/>
            <w:hideMark/>
          </w:tcPr>
          <w:p w14:paraId="28564315"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0,229</w:t>
            </w:r>
            <w:r w:rsidRPr="00B97121">
              <w:rPr>
                <w:rFonts w:asciiTheme="minorBidi" w:eastAsia="SimSun" w:hAnsiTheme="minorBidi" w:cstheme="minorBidi"/>
                <w:sz w:val="20"/>
                <w:szCs w:val="20"/>
                <w:vertAlign w:val="superscript"/>
                <w:lang w:val="ru-RU"/>
              </w:rPr>
              <w:t>**</w:t>
            </w:r>
          </w:p>
        </w:tc>
        <w:tc>
          <w:tcPr>
            <w:tcW w:w="1087" w:type="dxa"/>
            <w:shd w:val="clear" w:color="auto" w:fill="auto"/>
            <w:noWrap/>
            <w:vAlign w:val="center"/>
            <w:hideMark/>
          </w:tcPr>
          <w:p w14:paraId="1058380D"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0,113</w:t>
            </w:r>
          </w:p>
        </w:tc>
      </w:tr>
      <w:tr w:rsidR="0032057E" w:rsidRPr="00B97121" w14:paraId="5EC3818F" w14:textId="77777777" w:rsidTr="00B22C87">
        <w:trPr>
          <w:trHeight w:val="20"/>
          <w:jc w:val="center"/>
        </w:trPr>
        <w:tc>
          <w:tcPr>
            <w:tcW w:w="1696" w:type="dxa"/>
            <w:shd w:val="clear" w:color="auto" w:fill="auto"/>
            <w:hideMark/>
          </w:tcPr>
          <w:p w14:paraId="5AE3197B"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SDG Indicator 9</w:t>
            </w:r>
          </w:p>
        </w:tc>
        <w:tc>
          <w:tcPr>
            <w:tcW w:w="1086" w:type="dxa"/>
            <w:shd w:val="clear" w:color="auto" w:fill="auto"/>
            <w:noWrap/>
            <w:vAlign w:val="center"/>
            <w:hideMark/>
          </w:tcPr>
          <w:p w14:paraId="5555799F"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-0,741</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4B279EDB"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-0,836</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4A060615"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0,318</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64243B41"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1,000</w:t>
            </w:r>
          </w:p>
        </w:tc>
        <w:tc>
          <w:tcPr>
            <w:tcW w:w="1086" w:type="dxa"/>
            <w:shd w:val="clear" w:color="auto" w:fill="auto"/>
            <w:noWrap/>
            <w:vAlign w:val="center"/>
            <w:hideMark/>
          </w:tcPr>
          <w:p w14:paraId="5D020E78"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-0,491</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32F1F3FA"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0,622</w:t>
            </w:r>
            <w:r w:rsidRPr="00B97121">
              <w:rPr>
                <w:rFonts w:asciiTheme="minorBidi" w:eastAsia="SimSun" w:hAnsiTheme="minorBidi" w:cstheme="minorBidi"/>
                <w:sz w:val="20"/>
                <w:szCs w:val="20"/>
                <w:vertAlign w:val="superscript"/>
                <w:lang w:val="ru-RU"/>
              </w:rPr>
              <w:t>**</w:t>
            </w:r>
          </w:p>
        </w:tc>
        <w:tc>
          <w:tcPr>
            <w:tcW w:w="1087" w:type="dxa"/>
            <w:shd w:val="clear" w:color="auto" w:fill="auto"/>
            <w:noWrap/>
            <w:vAlign w:val="center"/>
            <w:hideMark/>
          </w:tcPr>
          <w:p w14:paraId="07298442"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0,099</w:t>
            </w:r>
          </w:p>
        </w:tc>
      </w:tr>
      <w:tr w:rsidR="0032057E" w:rsidRPr="00B97121" w14:paraId="7A0CDD8F" w14:textId="77777777" w:rsidTr="00B22C87">
        <w:trPr>
          <w:trHeight w:val="20"/>
          <w:jc w:val="center"/>
        </w:trPr>
        <w:tc>
          <w:tcPr>
            <w:tcW w:w="1696" w:type="dxa"/>
            <w:shd w:val="clear" w:color="auto" w:fill="auto"/>
            <w:hideMark/>
          </w:tcPr>
          <w:p w14:paraId="0D4E43E3"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SDG Indicator 11</w:t>
            </w:r>
          </w:p>
        </w:tc>
        <w:tc>
          <w:tcPr>
            <w:tcW w:w="1086" w:type="dxa"/>
            <w:shd w:val="clear" w:color="auto" w:fill="auto"/>
            <w:noWrap/>
            <w:vAlign w:val="center"/>
            <w:hideMark/>
          </w:tcPr>
          <w:p w14:paraId="0E8F1563"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0,348</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22343A1A"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0,555</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48A5C7B1"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-0,153</w:t>
            </w:r>
          </w:p>
        </w:tc>
        <w:tc>
          <w:tcPr>
            <w:tcW w:w="1086" w:type="dxa"/>
            <w:shd w:val="clear" w:color="auto" w:fill="auto"/>
            <w:noWrap/>
            <w:vAlign w:val="center"/>
            <w:hideMark/>
          </w:tcPr>
          <w:p w14:paraId="1AEABFBF"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-0,491</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3ACAD230"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1,000</w:t>
            </w:r>
          </w:p>
        </w:tc>
        <w:tc>
          <w:tcPr>
            <w:tcW w:w="1086" w:type="dxa"/>
            <w:shd w:val="clear" w:color="auto" w:fill="auto"/>
            <w:noWrap/>
            <w:vAlign w:val="center"/>
            <w:hideMark/>
          </w:tcPr>
          <w:p w14:paraId="11EE4013"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-0,296</w:t>
            </w:r>
            <w:r w:rsidRPr="00B97121">
              <w:rPr>
                <w:rFonts w:asciiTheme="minorBidi" w:eastAsia="SimSun" w:hAnsiTheme="minorBidi" w:cstheme="minorBidi"/>
                <w:sz w:val="20"/>
                <w:szCs w:val="20"/>
                <w:vertAlign w:val="superscript"/>
                <w:lang w:val="ru-RU"/>
              </w:rPr>
              <w:t>**</w:t>
            </w:r>
          </w:p>
        </w:tc>
        <w:tc>
          <w:tcPr>
            <w:tcW w:w="1087" w:type="dxa"/>
            <w:shd w:val="clear" w:color="auto" w:fill="auto"/>
            <w:noWrap/>
            <w:vAlign w:val="center"/>
            <w:hideMark/>
          </w:tcPr>
          <w:p w14:paraId="7C1CDB10"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0,077</w:t>
            </w:r>
          </w:p>
        </w:tc>
      </w:tr>
      <w:tr w:rsidR="0032057E" w:rsidRPr="00B97121" w14:paraId="386B3963" w14:textId="77777777" w:rsidTr="00B22C87">
        <w:trPr>
          <w:trHeight w:val="20"/>
          <w:jc w:val="center"/>
        </w:trPr>
        <w:tc>
          <w:tcPr>
            <w:tcW w:w="1696" w:type="dxa"/>
            <w:shd w:val="clear" w:color="auto" w:fill="auto"/>
            <w:hideMark/>
          </w:tcPr>
          <w:p w14:paraId="5A9CB4C1"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SDG Indicator 13</w:t>
            </w:r>
          </w:p>
        </w:tc>
        <w:tc>
          <w:tcPr>
            <w:tcW w:w="1086" w:type="dxa"/>
            <w:shd w:val="clear" w:color="auto" w:fill="auto"/>
            <w:noWrap/>
            <w:vAlign w:val="center"/>
            <w:hideMark/>
          </w:tcPr>
          <w:p w14:paraId="48CF290E"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-0,420</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4E66C8DD"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-0,533</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5834AAC3"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0,229</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7787EAEE"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0,622</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344CA279"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-0,296</w:t>
            </w:r>
            <w:r w:rsidRPr="00B97121">
              <w:rPr>
                <w:rFonts w:asciiTheme="minorBidi" w:eastAsia="SimSun" w:hAnsiTheme="minorBidi" w:cstheme="minorBidi"/>
                <w:sz w:val="20"/>
                <w:szCs w:val="20"/>
                <w:vertAlign w:val="superscript"/>
                <w:lang w:val="ru-RU"/>
              </w:rPr>
              <w:t>**</w:t>
            </w:r>
          </w:p>
        </w:tc>
        <w:tc>
          <w:tcPr>
            <w:tcW w:w="1086" w:type="dxa"/>
            <w:shd w:val="clear" w:color="auto" w:fill="auto"/>
            <w:noWrap/>
            <w:vAlign w:val="center"/>
            <w:hideMark/>
          </w:tcPr>
          <w:p w14:paraId="7B01D917"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1,000</w:t>
            </w:r>
          </w:p>
        </w:tc>
        <w:tc>
          <w:tcPr>
            <w:tcW w:w="1087" w:type="dxa"/>
            <w:shd w:val="clear" w:color="auto" w:fill="auto"/>
            <w:noWrap/>
            <w:vAlign w:val="center"/>
            <w:hideMark/>
          </w:tcPr>
          <w:p w14:paraId="10F23F18"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0,132</w:t>
            </w:r>
          </w:p>
        </w:tc>
      </w:tr>
      <w:tr w:rsidR="0032057E" w:rsidRPr="00B97121" w14:paraId="79E4B0BE" w14:textId="77777777" w:rsidTr="00B22C87">
        <w:trPr>
          <w:trHeight w:val="20"/>
          <w:jc w:val="center"/>
        </w:trPr>
        <w:tc>
          <w:tcPr>
            <w:tcW w:w="1696" w:type="dxa"/>
            <w:shd w:val="clear" w:color="auto" w:fill="auto"/>
            <w:hideMark/>
          </w:tcPr>
          <w:p w14:paraId="04855140"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SDG Indicator 15</w:t>
            </w:r>
          </w:p>
        </w:tc>
        <w:tc>
          <w:tcPr>
            <w:tcW w:w="1086" w:type="dxa"/>
            <w:shd w:val="clear" w:color="auto" w:fill="auto"/>
            <w:noWrap/>
            <w:vAlign w:val="center"/>
            <w:hideMark/>
          </w:tcPr>
          <w:p w14:paraId="098AC644"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0,074</w:t>
            </w:r>
          </w:p>
        </w:tc>
        <w:tc>
          <w:tcPr>
            <w:tcW w:w="1086" w:type="dxa"/>
            <w:shd w:val="clear" w:color="auto" w:fill="auto"/>
            <w:noWrap/>
            <w:vAlign w:val="center"/>
            <w:hideMark/>
          </w:tcPr>
          <w:p w14:paraId="2BE4D328"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0,033</w:t>
            </w:r>
          </w:p>
        </w:tc>
        <w:tc>
          <w:tcPr>
            <w:tcW w:w="1086" w:type="dxa"/>
            <w:shd w:val="clear" w:color="auto" w:fill="auto"/>
            <w:noWrap/>
            <w:vAlign w:val="center"/>
            <w:hideMark/>
          </w:tcPr>
          <w:p w14:paraId="04855EB5"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0,113</w:t>
            </w:r>
          </w:p>
        </w:tc>
        <w:tc>
          <w:tcPr>
            <w:tcW w:w="1086" w:type="dxa"/>
            <w:shd w:val="clear" w:color="auto" w:fill="auto"/>
            <w:noWrap/>
            <w:vAlign w:val="center"/>
            <w:hideMark/>
          </w:tcPr>
          <w:p w14:paraId="0B8EE993"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0,099</w:t>
            </w:r>
          </w:p>
        </w:tc>
        <w:tc>
          <w:tcPr>
            <w:tcW w:w="1086" w:type="dxa"/>
            <w:shd w:val="clear" w:color="auto" w:fill="auto"/>
            <w:noWrap/>
            <w:vAlign w:val="center"/>
            <w:hideMark/>
          </w:tcPr>
          <w:p w14:paraId="04A35923"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0,077</w:t>
            </w:r>
          </w:p>
        </w:tc>
        <w:tc>
          <w:tcPr>
            <w:tcW w:w="1086" w:type="dxa"/>
            <w:shd w:val="clear" w:color="auto" w:fill="auto"/>
            <w:noWrap/>
            <w:vAlign w:val="center"/>
            <w:hideMark/>
          </w:tcPr>
          <w:p w14:paraId="099F580E"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0,132</w:t>
            </w:r>
          </w:p>
        </w:tc>
        <w:tc>
          <w:tcPr>
            <w:tcW w:w="1087" w:type="dxa"/>
            <w:shd w:val="clear" w:color="auto" w:fill="auto"/>
            <w:noWrap/>
            <w:vAlign w:val="center"/>
            <w:hideMark/>
          </w:tcPr>
          <w:p w14:paraId="4101B760" w14:textId="77777777" w:rsidR="0032057E" w:rsidRPr="00B97121" w:rsidRDefault="0032057E" w:rsidP="00B22C87">
            <w:pPr>
              <w:tabs>
                <w:tab w:val="left" w:pos="426"/>
                <w:tab w:val="left" w:pos="567"/>
              </w:tabs>
              <w:spacing w:line="360" w:lineRule="auto"/>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w:t>
            </w:r>
          </w:p>
        </w:tc>
      </w:tr>
    </w:tbl>
    <w:p w14:paraId="555D652E" w14:textId="77777777" w:rsidR="0032057E" w:rsidRPr="00B97121" w:rsidRDefault="0032057E" w:rsidP="0032057E">
      <w:pPr>
        <w:tabs>
          <w:tab w:val="left" w:pos="426"/>
          <w:tab w:val="left" w:pos="567"/>
        </w:tabs>
        <w:spacing w:line="360" w:lineRule="auto"/>
        <w:ind w:firstLine="181"/>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 xml:space="preserve">(**) significance level 0.01 </w:t>
      </w:r>
    </w:p>
    <w:p w14:paraId="7AFF6ECC" w14:textId="77777777" w:rsidR="0032057E" w:rsidRPr="00B97121" w:rsidRDefault="0032057E" w:rsidP="0032057E">
      <w:pPr>
        <w:tabs>
          <w:tab w:val="left" w:pos="426"/>
          <w:tab w:val="left" w:pos="567"/>
        </w:tabs>
        <w:spacing w:line="360" w:lineRule="auto"/>
        <w:ind w:firstLine="181"/>
        <w:contextualSpacing/>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 significance level 0.05</w:t>
      </w:r>
    </w:p>
    <w:p w14:paraId="344A8730" w14:textId="77777777" w:rsid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rPr>
      </w:pPr>
    </w:p>
    <w:p w14:paraId="2A3118AD"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There is a significant (at the significance level a=0.01) high positive relationship between the indicator "Proportion of the population with an income below $1.9" (SDG 1) and the indicators for SDG 3 – the neonatal mortality rate. It can be said that the infant mortality rate is closely related </w:t>
      </w:r>
      <w:r w:rsidRPr="0032057E">
        <w:rPr>
          <w:rFonts w:asciiTheme="minorBidi" w:eastAsia="SimSun" w:hAnsiTheme="minorBidi" w:cstheme="minorBidi"/>
          <w:szCs w:val="24"/>
          <w:lang w:val="en-US"/>
        </w:rPr>
        <w:lastRenderedPageBreak/>
        <w:t>to the level of poverty in the country: the higher the poverty in the country, the higher the infant mortality rate. We can say that this dependence is mainly characteristic of the countries of the African continent, which are characterized by high infant mortality and low life expectancy. We can say that these countries have not yet passed the stage of the second demographic transition: the transition from high mortality and high fertility to low mortality and low fertility. Of course, the reduction of mortality cannot be achieved without the development of the health system.</w:t>
      </w:r>
    </w:p>
    <w:p w14:paraId="388C6F54"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A significant negative relationship is observed between the indicators "The proportion of the population with an income below $1.9" (SDG 1) and "The population using the Internet" (SDG 9). The higher the level of poverty in the country, the lower the proportion of the population with access to the Internet. It can be said that getting access to the Internet requires significant household expenses for the purchase of equipment, as well as payment for access.</w:t>
      </w:r>
    </w:p>
    <w:p w14:paraId="7E97B21E"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A negative correlation of average strength is also observed between the indicators "Share of the population with an income below $1.9" (SDG 1) and "CO</w:t>
      </w:r>
      <w:r w:rsidRPr="0032057E">
        <w:rPr>
          <w:rFonts w:ascii="Cambria Math" w:eastAsia="SimSun" w:hAnsi="Cambria Math" w:cs="Cambria Math"/>
          <w:szCs w:val="24"/>
          <w:lang w:val="en-US"/>
        </w:rPr>
        <w:t>₂</w:t>
      </w:r>
      <w:r w:rsidRPr="0032057E">
        <w:rPr>
          <w:rFonts w:asciiTheme="minorBidi" w:eastAsia="SimSun" w:hAnsiTheme="minorBidi" w:cstheme="minorBidi"/>
          <w:szCs w:val="24"/>
          <w:lang w:val="en-US"/>
        </w:rPr>
        <w:t xml:space="preserve"> emissions from burning fossil fuels and cement production (per capita)" (SDG 13). It can be assumed that for countries with high poverty rates, the level of co</w:t>
      </w:r>
      <w:r w:rsidRPr="0032057E">
        <w:rPr>
          <w:rFonts w:ascii="Cambria Math" w:eastAsia="SimSun" w:hAnsi="Cambria Math" w:cs="Cambria Math"/>
          <w:szCs w:val="24"/>
          <w:lang w:val="en-US"/>
        </w:rPr>
        <w:t>₂</w:t>
      </w:r>
      <w:r w:rsidRPr="0032057E">
        <w:rPr>
          <w:rFonts w:asciiTheme="minorBidi" w:eastAsia="SimSun" w:hAnsiTheme="minorBidi" w:cstheme="minorBidi"/>
          <w:szCs w:val="24"/>
          <w:lang w:val="en-US"/>
        </w:rPr>
        <w:t xml:space="preserve"> emissions per person will be lower due to technological backwardness: lack of modern electrical appliances, low mobility, lack of money for a car, lack of need for a central heating system (for example, due to climatic features).</w:t>
      </w:r>
    </w:p>
    <w:p w14:paraId="1C99297A"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A high correlation is observed between the indicator "neonatal mortality rate" (SDG 3) and "The population using the Internet" (SDG 9). This can also be explained by the level of development of States. A high mortality rate may be one of the indicators of a low level of development of the state. In the future, correlation matrices will be constructed for the relationships under consideration. There is a correlation between the average strength of the indicators "The population using the Internet" (SDG 9) and co</w:t>
      </w:r>
      <w:r w:rsidRPr="0032057E">
        <w:rPr>
          <w:rFonts w:ascii="Cambria Math" w:eastAsia="SimSun" w:hAnsi="Cambria Math" w:cs="Cambria Math"/>
          <w:szCs w:val="24"/>
          <w:lang w:val="en-US"/>
        </w:rPr>
        <w:t>₂</w:t>
      </w:r>
      <w:r w:rsidRPr="0032057E">
        <w:rPr>
          <w:rFonts w:asciiTheme="minorBidi" w:eastAsia="SimSun" w:hAnsiTheme="minorBidi" w:cstheme="minorBidi"/>
          <w:szCs w:val="24"/>
          <w:lang w:val="en-US"/>
        </w:rPr>
        <w:t xml:space="preserve"> emissions from the burning of fossil fuels and cement production (CO2 per capita) (SDG 13). This relationship can be explained as follows: countries where the population has high rates of access to the Internet can be characterized by </w:t>
      </w:r>
      <w:proofErr w:type="gramStart"/>
      <w:r w:rsidRPr="0032057E">
        <w:rPr>
          <w:rFonts w:asciiTheme="minorBidi" w:eastAsia="SimSun" w:hAnsiTheme="minorBidi" w:cstheme="minorBidi"/>
          <w:szCs w:val="24"/>
          <w:lang w:val="en-US"/>
        </w:rPr>
        <w:t>a large number of</w:t>
      </w:r>
      <w:proofErr w:type="gramEnd"/>
      <w:r w:rsidRPr="0032057E">
        <w:rPr>
          <w:rFonts w:asciiTheme="minorBidi" w:eastAsia="SimSun" w:hAnsiTheme="minorBidi" w:cstheme="minorBidi"/>
          <w:szCs w:val="24"/>
          <w:lang w:val="en-US"/>
        </w:rPr>
        <w:t xml:space="preserve"> electrical appliances that consume a significant amount of electricity.</w:t>
      </w:r>
    </w:p>
    <w:p w14:paraId="3AD8FB79"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The problem of combating poverty is one of the most important in the world. Currently, the poverty criterion is defined as $1.9 per person per day. At the same time, the target values for the criterion of the poverty level are considered as 3.2 US dollars per person. According to data for 2019, the largest share of the population with incomes below $1.9 is observed in South Sudan (83.13%), Central African Republic (78.24%), Burundi (78.06). These countries are also </w:t>
      </w:r>
      <w:r w:rsidRPr="0032057E">
        <w:rPr>
          <w:rFonts w:asciiTheme="minorBidi" w:eastAsia="SimSun" w:hAnsiTheme="minorBidi" w:cstheme="minorBidi"/>
          <w:szCs w:val="24"/>
          <w:lang w:val="en-US"/>
        </w:rPr>
        <w:lastRenderedPageBreak/>
        <w:t xml:space="preserve">characterized by high rates of neonatal mortality. The number of deaths per 1,000 births in South Sudan is 38.3, in the Central African Republic 39.7, in Burundi - 21. It should be noted that in the countries under consideration, the share of the population with incomes below $3.2 per person per day is more than 90%. </w:t>
      </w:r>
    </w:p>
    <w:p w14:paraId="313415BE"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It should be noted that Russia has one of the lowest rates of the share of the population living on less than $1.9 per day (0.01%). This indicator is comparable to the values of Turkey, New Zealand, Kazakhstan. Similar values for this indicator are observed in some countries of the former USSR: Estonia – 0.03%, Belarus – 0.04%, Moldova – 0.05%, Ukraine – 0.06%, Slovenia – 0.08%. At the same time, the share of the population whose consumption level is less than 3.2 US dollars per day is 0.1% in Russia. This value is comparable to the values of Finland and Switzerland. When comparing countries with the neonatal mortality indicator (SDG 3), it should be noted that Russia has no significant differences from countries with similar indicators for the previously considered indicators of SDG 1. The relationship between the indicator "proportion of the population with an income below $1.9" (SDG 1) and "neonatal mortality rate" (SDG 3) is shown in Figure 1.</w:t>
      </w:r>
    </w:p>
    <w:p w14:paraId="3632EA1F"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p>
    <w:p w14:paraId="5A4C87C5" w14:textId="77777777" w:rsidR="0032057E" w:rsidRPr="00B97121" w:rsidRDefault="0032057E" w:rsidP="0032057E">
      <w:pPr>
        <w:tabs>
          <w:tab w:val="left" w:pos="426"/>
          <w:tab w:val="left" w:pos="567"/>
        </w:tabs>
        <w:spacing w:line="360" w:lineRule="auto"/>
        <w:contextualSpacing/>
        <w:jc w:val="center"/>
        <w:rPr>
          <w:rFonts w:asciiTheme="minorBidi" w:eastAsia="SimSun" w:hAnsiTheme="minorBidi" w:cstheme="minorBidi"/>
          <w:szCs w:val="24"/>
        </w:rPr>
      </w:pPr>
      <w:r w:rsidRPr="00B97121">
        <w:rPr>
          <w:rFonts w:asciiTheme="minorBidi" w:eastAsia="SimSun" w:hAnsiTheme="minorBidi" w:cstheme="minorBidi"/>
          <w:noProof/>
          <w:szCs w:val="24"/>
          <w:lang w:val="ru-RU"/>
        </w:rPr>
        <w:drawing>
          <wp:inline distT="0" distB="0" distL="0" distR="0" wp14:anchorId="2FE4D69A" wp14:editId="79098C29">
            <wp:extent cx="5883650" cy="2564780"/>
            <wp:effectExtent l="19050" t="19050" r="22225" b="26035"/>
            <wp:docPr id="3" name="Рисунок 3"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Gráfico, Gráfico de dispersión&#10;&#10;Descripción generada automáticamente"/>
                    <pic:cNvPicPr/>
                  </pic:nvPicPr>
                  <pic:blipFill>
                    <a:blip r:embed="rId17"/>
                    <a:stretch>
                      <a:fillRect/>
                    </a:stretch>
                  </pic:blipFill>
                  <pic:spPr>
                    <a:xfrm>
                      <a:off x="0" y="0"/>
                      <a:ext cx="5894523" cy="2569520"/>
                    </a:xfrm>
                    <a:prstGeom prst="rect">
                      <a:avLst/>
                    </a:prstGeom>
                    <a:ln>
                      <a:solidFill>
                        <a:schemeClr val="bg1">
                          <a:lumMod val="85000"/>
                        </a:schemeClr>
                      </a:solidFill>
                    </a:ln>
                  </pic:spPr>
                </pic:pic>
              </a:graphicData>
            </a:graphic>
          </wp:inline>
        </w:drawing>
      </w:r>
    </w:p>
    <w:p w14:paraId="4501689B" w14:textId="77777777" w:rsidR="0032057E" w:rsidRPr="0032057E" w:rsidRDefault="0032057E" w:rsidP="0032057E">
      <w:pPr>
        <w:tabs>
          <w:tab w:val="left" w:pos="426"/>
          <w:tab w:val="left" w:pos="567"/>
        </w:tabs>
        <w:spacing w:line="360" w:lineRule="auto"/>
        <w:contextualSpacing/>
        <w:jc w:val="center"/>
        <w:rPr>
          <w:rFonts w:asciiTheme="minorBidi" w:eastAsia="SimSun" w:hAnsiTheme="minorBidi" w:cstheme="minorBidi"/>
          <w:szCs w:val="24"/>
          <w:lang w:val="en-US"/>
        </w:rPr>
      </w:pPr>
      <w:r w:rsidRPr="0032057E">
        <w:rPr>
          <w:rFonts w:asciiTheme="minorBidi" w:eastAsia="SimSun" w:hAnsiTheme="minorBidi" w:cstheme="minorBidi"/>
          <w:szCs w:val="24"/>
          <w:lang w:val="en-US"/>
        </w:rPr>
        <w:t>Figure 1: Correlation diagram between neonatal mortality rates (per 1,000 people) and the proportion of the population with incomes of less than $3.2 per day, 2019</w:t>
      </w:r>
    </w:p>
    <w:p w14:paraId="6216EC8E"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p>
    <w:p w14:paraId="247DF328"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As it was noted earlier, a high proportion of the population with low incomes can restrain the innovative growth of the economy. There is a strong negative relationship between the indicators "the share of the population with incomes below $1.9 per person per day" (SDG 1) and "the </w:t>
      </w:r>
      <w:r w:rsidRPr="0032057E">
        <w:rPr>
          <w:rFonts w:asciiTheme="minorBidi" w:eastAsia="SimSun" w:hAnsiTheme="minorBidi" w:cstheme="minorBidi"/>
          <w:szCs w:val="24"/>
          <w:lang w:val="en-US"/>
        </w:rPr>
        <w:lastRenderedPageBreak/>
        <w:t>population using the Internet". Among the countries with the largest share of the population with access to the Internet are the United Arab Emirates (99.15%), Iceland (99.0%), Denmark (98.0%). At the same time, these countries are characterized by one of the lowest values according to the indicator of the share of the population with incomes less than $ 1.9: UAE – 0.22%, Iceland – 0.1%, Denmark – 0.17%.</w:t>
      </w:r>
    </w:p>
    <w:p w14:paraId="0EE60AC5"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Russia is characterized by relatively high values according to the indicator "the population using the Internet</w:t>
      </w:r>
      <w:proofErr w:type="gramStart"/>
      <w:r w:rsidRPr="0032057E">
        <w:rPr>
          <w:rFonts w:asciiTheme="minorBidi" w:eastAsia="SimSun" w:hAnsiTheme="minorBidi" w:cstheme="minorBidi"/>
          <w:szCs w:val="24"/>
          <w:lang w:val="en-US"/>
        </w:rPr>
        <w:t>", and</w:t>
      </w:r>
      <w:proofErr w:type="gramEnd"/>
      <w:r w:rsidRPr="0032057E">
        <w:rPr>
          <w:rFonts w:asciiTheme="minorBidi" w:eastAsia="SimSun" w:hAnsiTheme="minorBidi" w:cstheme="minorBidi"/>
          <w:szCs w:val="24"/>
          <w:lang w:val="en-US"/>
        </w:rPr>
        <w:t xml:space="preserve"> amounted to 82.6% in 2019. This value is comparable with some countries of the former USSR (Kazakhstan - 81.9%, Belarus – 82.8%), as well as some European countries (France – 83.3%, Poland – 84.5%). The correlation diagram between the indicators of the share of the population with monetary incomes of less than $ 1.9 and the share of the population with access to the Internet is shown in Figure 2.</w:t>
      </w:r>
    </w:p>
    <w:p w14:paraId="2A37D4C0" w14:textId="77777777" w:rsidR="0032057E" w:rsidRPr="0032057E" w:rsidRDefault="0032057E" w:rsidP="0032057E">
      <w:pPr>
        <w:tabs>
          <w:tab w:val="left" w:pos="426"/>
          <w:tab w:val="left" w:pos="567"/>
        </w:tabs>
        <w:spacing w:line="360" w:lineRule="auto"/>
        <w:contextualSpacing/>
        <w:rPr>
          <w:rFonts w:asciiTheme="minorBidi" w:eastAsia="SimSun" w:hAnsiTheme="minorBidi" w:cstheme="minorBidi"/>
          <w:szCs w:val="24"/>
          <w:lang w:val="en-US"/>
        </w:rPr>
      </w:pPr>
    </w:p>
    <w:p w14:paraId="3AE99188" w14:textId="77777777" w:rsidR="0032057E" w:rsidRPr="00B97121" w:rsidRDefault="0032057E" w:rsidP="0032057E">
      <w:pPr>
        <w:tabs>
          <w:tab w:val="left" w:pos="426"/>
          <w:tab w:val="left" w:pos="567"/>
        </w:tabs>
        <w:spacing w:line="360" w:lineRule="auto"/>
        <w:contextualSpacing/>
        <w:jc w:val="center"/>
        <w:rPr>
          <w:rFonts w:asciiTheme="minorBidi" w:eastAsia="SimSun" w:hAnsiTheme="minorBidi" w:cstheme="minorBidi"/>
          <w:b/>
          <w:szCs w:val="24"/>
        </w:rPr>
      </w:pPr>
      <w:r w:rsidRPr="00B97121">
        <w:rPr>
          <w:rFonts w:asciiTheme="minorBidi" w:eastAsia="SimSun" w:hAnsiTheme="minorBidi" w:cstheme="minorBidi"/>
          <w:noProof/>
          <w:szCs w:val="24"/>
          <w:lang w:val="ru-RU"/>
        </w:rPr>
        <w:drawing>
          <wp:inline distT="0" distB="0" distL="0" distR="0" wp14:anchorId="7E530643" wp14:editId="522444D4">
            <wp:extent cx="5808933" cy="3186300"/>
            <wp:effectExtent l="19050" t="19050" r="20955" b="14605"/>
            <wp:docPr id="1" name="Рисунок 1"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ráfico, Gráfico de dispersión&#10;&#10;Descripción generada automáticamente"/>
                    <pic:cNvPicPr/>
                  </pic:nvPicPr>
                  <pic:blipFill>
                    <a:blip r:embed="rId18"/>
                    <a:stretch>
                      <a:fillRect/>
                    </a:stretch>
                  </pic:blipFill>
                  <pic:spPr>
                    <a:xfrm>
                      <a:off x="0" y="0"/>
                      <a:ext cx="5837921" cy="3202201"/>
                    </a:xfrm>
                    <a:prstGeom prst="rect">
                      <a:avLst/>
                    </a:prstGeom>
                    <a:ln>
                      <a:solidFill>
                        <a:schemeClr val="bg1">
                          <a:lumMod val="85000"/>
                        </a:schemeClr>
                      </a:solidFill>
                    </a:ln>
                  </pic:spPr>
                </pic:pic>
              </a:graphicData>
            </a:graphic>
          </wp:inline>
        </w:drawing>
      </w:r>
    </w:p>
    <w:p w14:paraId="2D80E8B2" w14:textId="77777777" w:rsidR="0032057E" w:rsidRPr="0032057E" w:rsidRDefault="0032057E" w:rsidP="0032057E">
      <w:pPr>
        <w:tabs>
          <w:tab w:val="left" w:pos="426"/>
          <w:tab w:val="left" w:pos="567"/>
        </w:tabs>
        <w:spacing w:line="360" w:lineRule="auto"/>
        <w:contextualSpacing/>
        <w:jc w:val="center"/>
        <w:rPr>
          <w:rFonts w:asciiTheme="minorBidi" w:eastAsia="SimSun" w:hAnsiTheme="minorBidi" w:cstheme="minorBidi"/>
          <w:bCs/>
          <w:szCs w:val="24"/>
          <w:lang w:val="en-US"/>
        </w:rPr>
      </w:pPr>
      <w:r w:rsidRPr="0032057E">
        <w:rPr>
          <w:rFonts w:asciiTheme="minorBidi" w:eastAsia="SimSun" w:hAnsiTheme="minorBidi" w:cstheme="minorBidi"/>
          <w:bCs/>
          <w:szCs w:val="24"/>
          <w:lang w:val="en-US"/>
        </w:rPr>
        <w:t>Figure 2: Correlation matrix between indicators of the share of the population with incomes less than $1.9 per person per day and the share of the population with access to the Internet, 2019</w:t>
      </w:r>
    </w:p>
    <w:p w14:paraId="456BC9C8" w14:textId="77777777" w:rsidR="0032057E" w:rsidRPr="0032057E" w:rsidRDefault="0032057E" w:rsidP="0032057E">
      <w:pPr>
        <w:tabs>
          <w:tab w:val="left" w:pos="426"/>
          <w:tab w:val="left" w:pos="567"/>
        </w:tabs>
        <w:spacing w:line="360" w:lineRule="auto"/>
        <w:contextualSpacing/>
        <w:rPr>
          <w:rFonts w:asciiTheme="minorBidi" w:eastAsia="SimSun" w:hAnsiTheme="minorBidi" w:cstheme="minorBidi"/>
          <w:szCs w:val="24"/>
          <w:lang w:val="en-US"/>
        </w:rPr>
      </w:pPr>
    </w:p>
    <w:p w14:paraId="5328E4AF"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p>
    <w:p w14:paraId="62D9DE0C"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We can say that the border of the poverty level is very conditional. It can be said that in households living below the poverty line, spending on food will prevail. According to Engel's second law, the share of food expenses will increase with the growth of the number of household </w:t>
      </w:r>
      <w:r w:rsidRPr="0032057E">
        <w:rPr>
          <w:rFonts w:asciiTheme="minorBidi" w:eastAsia="SimSun" w:hAnsiTheme="minorBidi" w:cstheme="minorBidi"/>
          <w:szCs w:val="24"/>
          <w:lang w:val="en-US"/>
        </w:rPr>
        <w:lastRenderedPageBreak/>
        <w:t xml:space="preserve">members. At the same time, in the work of Deaton and Paxson, an inverse relationship is noted: with an increase in the number of family members in the household, the average per capita expenditure on food will decrease. The need to calculate the poverty level boundary depending on the characteristics of the household is also caused by the effect of the scale of benefits of shared consumption. For example, the number of household appliances in a household of 1 person, as a rule, will be the same as in a household of two people. Thus, the monetary resources saved due to the scale effect of the household can be used to increase consumption. </w:t>
      </w:r>
    </w:p>
    <w:p w14:paraId="5B284F58"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proofErr w:type="gramStart"/>
      <w:r w:rsidRPr="0032057E">
        <w:rPr>
          <w:rFonts w:asciiTheme="minorBidi" w:eastAsia="SimSun" w:hAnsiTheme="minorBidi" w:cstheme="minorBidi"/>
          <w:szCs w:val="24"/>
          <w:lang w:val="en-US"/>
        </w:rPr>
        <w:t>On the basis of</w:t>
      </w:r>
      <w:proofErr w:type="gramEnd"/>
      <w:r w:rsidRPr="0032057E">
        <w:rPr>
          <w:rFonts w:asciiTheme="minorBidi" w:eastAsia="SimSun" w:hAnsiTheme="minorBidi" w:cstheme="minorBidi"/>
          <w:szCs w:val="24"/>
          <w:lang w:val="en-US"/>
        </w:rPr>
        <w:t xml:space="preserve"> data from Surveys of household budgets of </w:t>
      </w:r>
      <w:proofErr w:type="spellStart"/>
      <w:r w:rsidRPr="0032057E">
        <w:rPr>
          <w:rFonts w:asciiTheme="minorBidi" w:eastAsia="SimSun" w:hAnsiTheme="minorBidi" w:cstheme="minorBidi"/>
          <w:szCs w:val="24"/>
          <w:lang w:val="en-US"/>
        </w:rPr>
        <w:t>Rosstat</w:t>
      </w:r>
      <w:proofErr w:type="spellEnd"/>
      <w:r w:rsidRPr="0032057E">
        <w:rPr>
          <w:rFonts w:asciiTheme="minorBidi" w:eastAsia="SimSun" w:hAnsiTheme="minorBidi" w:cstheme="minorBidi"/>
          <w:szCs w:val="24"/>
          <w:lang w:val="en-US"/>
        </w:rPr>
        <w:t xml:space="preserve"> for 2020, an assessment of the costs of the scale effect on food was carried out, depending on the size of the household and the area of residence. In carrying out this assessment, the costs of food, eating out and alcohol were </w:t>
      </w:r>
      <w:proofErr w:type="gramStart"/>
      <w:r w:rsidRPr="0032057E">
        <w:rPr>
          <w:rFonts w:asciiTheme="minorBidi" w:eastAsia="SimSun" w:hAnsiTheme="minorBidi" w:cstheme="minorBidi"/>
          <w:szCs w:val="24"/>
          <w:lang w:val="en-US"/>
        </w:rPr>
        <w:t>taken into account</w:t>
      </w:r>
      <w:proofErr w:type="gramEnd"/>
      <w:r w:rsidRPr="0032057E">
        <w:rPr>
          <w:rFonts w:asciiTheme="minorBidi" w:eastAsia="SimSun" w:hAnsiTheme="minorBidi" w:cstheme="minorBidi"/>
          <w:szCs w:val="24"/>
          <w:lang w:val="en-US"/>
        </w:rPr>
        <w:t>.</w:t>
      </w:r>
    </w:p>
    <w:p w14:paraId="3478CCC5"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On average, the level of spending on food for households in urban areas is higher than in rural areas (Figure 3). The lower level of spending on food in rural areas can be explained by the presence of a personal subsidiary farm, as well as the underdevelopment of the catering services sector outside the home. Calculations of the average per capita expenditure on food show that with an increase in the number of household members in the family, the level of average per capita expenditure on food decreases.</w:t>
      </w:r>
    </w:p>
    <w:p w14:paraId="19546754"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p>
    <w:p w14:paraId="560CB91D" w14:textId="77777777" w:rsidR="0032057E" w:rsidRPr="00B97121" w:rsidRDefault="0032057E" w:rsidP="0032057E">
      <w:pPr>
        <w:tabs>
          <w:tab w:val="left" w:pos="426"/>
          <w:tab w:val="left" w:pos="567"/>
        </w:tabs>
        <w:spacing w:line="360" w:lineRule="auto"/>
        <w:contextualSpacing/>
        <w:jc w:val="center"/>
        <w:rPr>
          <w:rFonts w:asciiTheme="minorBidi" w:eastAsia="SimSun" w:hAnsiTheme="minorBidi" w:cstheme="minorBidi"/>
          <w:szCs w:val="24"/>
        </w:rPr>
      </w:pPr>
      <w:r w:rsidRPr="00B97121">
        <w:rPr>
          <w:rFonts w:asciiTheme="minorBidi" w:eastAsia="SimSun" w:hAnsiTheme="minorBidi" w:cstheme="minorBidi"/>
          <w:noProof/>
          <w:szCs w:val="24"/>
          <w:lang w:val="ru-RU"/>
        </w:rPr>
        <w:drawing>
          <wp:inline distT="0" distB="0" distL="0" distR="0" wp14:anchorId="54716908" wp14:editId="1DD746F4">
            <wp:extent cx="5940425" cy="2527609"/>
            <wp:effectExtent l="19050" t="19050" r="22225" b="25400"/>
            <wp:docPr id="4" name="Рисунок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Gráfico, Gráfico de barras&#10;&#10;Descripción generada automáticamente"/>
                    <pic:cNvPicPr/>
                  </pic:nvPicPr>
                  <pic:blipFill>
                    <a:blip r:embed="rId19"/>
                    <a:stretch>
                      <a:fillRect/>
                    </a:stretch>
                  </pic:blipFill>
                  <pic:spPr>
                    <a:xfrm>
                      <a:off x="0" y="0"/>
                      <a:ext cx="5941151" cy="2527918"/>
                    </a:xfrm>
                    <a:prstGeom prst="rect">
                      <a:avLst/>
                    </a:prstGeom>
                    <a:ln>
                      <a:solidFill>
                        <a:schemeClr val="bg1">
                          <a:lumMod val="85000"/>
                        </a:schemeClr>
                      </a:solidFill>
                    </a:ln>
                  </pic:spPr>
                </pic:pic>
              </a:graphicData>
            </a:graphic>
          </wp:inline>
        </w:drawing>
      </w:r>
    </w:p>
    <w:p w14:paraId="41265ED5" w14:textId="77777777" w:rsidR="0032057E" w:rsidRPr="0032057E" w:rsidRDefault="0032057E" w:rsidP="0032057E">
      <w:pPr>
        <w:tabs>
          <w:tab w:val="left" w:pos="426"/>
          <w:tab w:val="left" w:pos="567"/>
        </w:tabs>
        <w:spacing w:line="360" w:lineRule="auto"/>
        <w:contextualSpacing/>
        <w:jc w:val="center"/>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Figure 3: The level of household spending on food, depending on the number of family members in the household and the area of residence, </w:t>
      </w:r>
      <w:proofErr w:type="gramStart"/>
      <w:r w:rsidRPr="0032057E">
        <w:rPr>
          <w:rFonts w:asciiTheme="minorBidi" w:eastAsia="SimSun" w:hAnsiTheme="minorBidi" w:cstheme="minorBidi"/>
          <w:szCs w:val="24"/>
          <w:lang w:val="en-US"/>
        </w:rPr>
        <w:t>2020</w:t>
      </w:r>
      <w:proofErr w:type="gramEnd"/>
    </w:p>
    <w:p w14:paraId="7810EE49"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p>
    <w:p w14:paraId="3C926FB7"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lastRenderedPageBreak/>
        <w:t xml:space="preserve">Thus, when determining the poverty level, it is necessary to </w:t>
      </w:r>
      <w:proofErr w:type="gramStart"/>
      <w:r w:rsidRPr="0032057E">
        <w:rPr>
          <w:rFonts w:asciiTheme="minorBidi" w:eastAsia="SimSun" w:hAnsiTheme="minorBidi" w:cstheme="minorBidi"/>
          <w:szCs w:val="24"/>
          <w:lang w:val="en-US"/>
        </w:rPr>
        <w:t>take into account</w:t>
      </w:r>
      <w:proofErr w:type="gramEnd"/>
      <w:r w:rsidRPr="0032057E">
        <w:rPr>
          <w:rFonts w:asciiTheme="minorBidi" w:eastAsia="SimSun" w:hAnsiTheme="minorBidi" w:cstheme="minorBidi"/>
          <w:szCs w:val="24"/>
          <w:lang w:val="en-US"/>
        </w:rPr>
        <w:t xml:space="preserve"> not only the proportion of the poor population directly, but also the characteristics of the household: the number of family members, the infant mortality rate, the availability of Internet access that allows you to work remotely.</w:t>
      </w:r>
    </w:p>
    <w:p w14:paraId="58D4896F"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Based on the identified factors using the Ward method, the authors formed 4 clusters for two periods – 2015 and 2019 (Table 3 and Table 4).</w:t>
      </w:r>
    </w:p>
    <w:p w14:paraId="6CA94BE0" w14:textId="77777777" w:rsidR="0032057E" w:rsidRPr="0032057E" w:rsidRDefault="0032057E" w:rsidP="0032057E">
      <w:pPr>
        <w:tabs>
          <w:tab w:val="left" w:pos="426"/>
          <w:tab w:val="left" w:pos="567"/>
        </w:tabs>
        <w:spacing w:line="360" w:lineRule="auto"/>
        <w:contextualSpacing/>
        <w:rPr>
          <w:rFonts w:asciiTheme="minorBidi" w:eastAsia="SimSun" w:hAnsiTheme="minorBidi" w:cstheme="minorBidi"/>
          <w:szCs w:val="24"/>
          <w:lang w:val="en-US"/>
        </w:rPr>
      </w:pPr>
    </w:p>
    <w:p w14:paraId="35D0C770" w14:textId="77777777" w:rsidR="0032057E" w:rsidRPr="0032057E" w:rsidRDefault="0032057E" w:rsidP="0032057E">
      <w:pPr>
        <w:tabs>
          <w:tab w:val="left" w:pos="426"/>
          <w:tab w:val="left" w:pos="567"/>
        </w:tabs>
        <w:spacing w:line="360" w:lineRule="auto"/>
        <w:jc w:val="center"/>
        <w:rPr>
          <w:rFonts w:asciiTheme="minorBidi" w:eastAsia="SimSun" w:hAnsiTheme="minorBidi" w:cstheme="minorBidi"/>
          <w:bCs/>
          <w:szCs w:val="24"/>
          <w:lang w:val="en-US"/>
        </w:rPr>
      </w:pPr>
      <w:r w:rsidRPr="0032057E">
        <w:rPr>
          <w:rFonts w:asciiTheme="minorBidi" w:eastAsia="SimSun" w:hAnsiTheme="minorBidi" w:cstheme="minorBidi"/>
          <w:bCs/>
          <w:szCs w:val="24"/>
          <w:lang w:val="en-US"/>
        </w:rPr>
        <w:t>Table 3: Characteristics of clusters in 2015 and 2019</w:t>
      </w:r>
    </w:p>
    <w:tbl>
      <w:tblPr>
        <w:tblW w:w="9299" w:type="dxa"/>
        <w:jc w:val="center"/>
        <w:tblLook w:val="04A0" w:firstRow="1" w:lastRow="0" w:firstColumn="1" w:lastColumn="0" w:noHBand="0" w:noVBand="1"/>
      </w:tblPr>
      <w:tblGrid>
        <w:gridCol w:w="2405"/>
        <w:gridCol w:w="851"/>
        <w:gridCol w:w="850"/>
        <w:gridCol w:w="851"/>
        <w:gridCol w:w="881"/>
        <w:gridCol w:w="845"/>
        <w:gridCol w:w="872"/>
        <w:gridCol w:w="872"/>
        <w:gridCol w:w="872"/>
      </w:tblGrid>
      <w:tr w:rsidR="0032057E" w:rsidRPr="00B97121" w14:paraId="6756B2CD" w14:textId="77777777" w:rsidTr="00B22C87">
        <w:trPr>
          <w:trHeight w:val="20"/>
          <w:jc w:val="center"/>
        </w:trPr>
        <w:tc>
          <w:tcPr>
            <w:tcW w:w="2405" w:type="dxa"/>
            <w:vMerge w:val="restart"/>
            <w:tcBorders>
              <w:top w:val="single" w:sz="4" w:space="0" w:color="auto"/>
              <w:left w:val="single" w:sz="4" w:space="0" w:color="auto"/>
              <w:right w:val="single" w:sz="4" w:space="0" w:color="auto"/>
            </w:tcBorders>
            <w:shd w:val="clear" w:color="auto" w:fill="auto"/>
            <w:noWrap/>
            <w:hideMark/>
          </w:tcPr>
          <w:p w14:paraId="257FDF4B"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Indicators</w:t>
            </w:r>
          </w:p>
          <w:p w14:paraId="35A5FE4A"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p>
        </w:tc>
        <w:tc>
          <w:tcPr>
            <w:tcW w:w="343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191FA5"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2015</w:t>
            </w:r>
          </w:p>
        </w:tc>
        <w:tc>
          <w:tcPr>
            <w:tcW w:w="34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DFD0B6"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2019</w:t>
            </w:r>
          </w:p>
        </w:tc>
      </w:tr>
      <w:tr w:rsidR="0032057E" w:rsidRPr="00B97121" w14:paraId="76511B6D" w14:textId="77777777" w:rsidTr="00B22C87">
        <w:trPr>
          <w:trHeight w:val="20"/>
          <w:jc w:val="center"/>
        </w:trPr>
        <w:tc>
          <w:tcPr>
            <w:tcW w:w="2405" w:type="dxa"/>
            <w:vMerge/>
            <w:tcBorders>
              <w:left w:val="single" w:sz="4" w:space="0" w:color="auto"/>
              <w:bottom w:val="single" w:sz="4" w:space="0" w:color="auto"/>
              <w:right w:val="single" w:sz="4" w:space="0" w:color="auto"/>
            </w:tcBorders>
            <w:shd w:val="clear" w:color="auto" w:fill="auto"/>
            <w:noWrap/>
            <w:hideMark/>
          </w:tcPr>
          <w:p w14:paraId="041656C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p>
        </w:tc>
        <w:tc>
          <w:tcPr>
            <w:tcW w:w="851" w:type="dxa"/>
            <w:tcBorders>
              <w:top w:val="nil"/>
              <w:left w:val="nil"/>
              <w:bottom w:val="single" w:sz="4" w:space="0" w:color="auto"/>
              <w:right w:val="single" w:sz="4" w:space="0" w:color="auto"/>
            </w:tcBorders>
            <w:shd w:val="clear" w:color="auto" w:fill="auto"/>
            <w:noWrap/>
            <w:vAlign w:val="bottom"/>
            <w:hideMark/>
          </w:tcPr>
          <w:p w14:paraId="680B4D15"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 cluster</w:t>
            </w:r>
          </w:p>
        </w:tc>
        <w:tc>
          <w:tcPr>
            <w:tcW w:w="850" w:type="dxa"/>
            <w:tcBorders>
              <w:top w:val="nil"/>
              <w:left w:val="nil"/>
              <w:bottom w:val="single" w:sz="4" w:space="0" w:color="auto"/>
              <w:right w:val="single" w:sz="4" w:space="0" w:color="auto"/>
            </w:tcBorders>
            <w:shd w:val="clear" w:color="auto" w:fill="auto"/>
            <w:noWrap/>
            <w:vAlign w:val="bottom"/>
            <w:hideMark/>
          </w:tcPr>
          <w:p w14:paraId="1498FB18"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 cluster</w:t>
            </w:r>
          </w:p>
        </w:tc>
        <w:tc>
          <w:tcPr>
            <w:tcW w:w="851" w:type="dxa"/>
            <w:tcBorders>
              <w:top w:val="nil"/>
              <w:left w:val="nil"/>
              <w:bottom w:val="single" w:sz="4" w:space="0" w:color="auto"/>
              <w:right w:val="single" w:sz="4" w:space="0" w:color="auto"/>
            </w:tcBorders>
            <w:shd w:val="clear" w:color="auto" w:fill="auto"/>
            <w:noWrap/>
            <w:vAlign w:val="bottom"/>
            <w:hideMark/>
          </w:tcPr>
          <w:p w14:paraId="4BE580BD"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3 cluster</w:t>
            </w:r>
          </w:p>
        </w:tc>
        <w:tc>
          <w:tcPr>
            <w:tcW w:w="881" w:type="dxa"/>
            <w:tcBorders>
              <w:top w:val="nil"/>
              <w:left w:val="nil"/>
              <w:bottom w:val="single" w:sz="4" w:space="0" w:color="auto"/>
              <w:right w:val="single" w:sz="4" w:space="0" w:color="auto"/>
            </w:tcBorders>
            <w:shd w:val="clear" w:color="auto" w:fill="auto"/>
            <w:noWrap/>
            <w:vAlign w:val="bottom"/>
            <w:hideMark/>
          </w:tcPr>
          <w:p w14:paraId="3E88B54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4 cluster</w:t>
            </w:r>
          </w:p>
        </w:tc>
        <w:tc>
          <w:tcPr>
            <w:tcW w:w="845" w:type="dxa"/>
            <w:tcBorders>
              <w:top w:val="nil"/>
              <w:left w:val="nil"/>
              <w:bottom w:val="single" w:sz="4" w:space="0" w:color="auto"/>
              <w:right w:val="single" w:sz="4" w:space="0" w:color="auto"/>
            </w:tcBorders>
            <w:shd w:val="clear" w:color="auto" w:fill="auto"/>
            <w:noWrap/>
            <w:vAlign w:val="bottom"/>
            <w:hideMark/>
          </w:tcPr>
          <w:p w14:paraId="1D9ECD0B"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 cluster</w:t>
            </w:r>
          </w:p>
        </w:tc>
        <w:tc>
          <w:tcPr>
            <w:tcW w:w="872" w:type="dxa"/>
            <w:tcBorders>
              <w:top w:val="nil"/>
              <w:left w:val="nil"/>
              <w:bottom w:val="single" w:sz="4" w:space="0" w:color="auto"/>
              <w:right w:val="single" w:sz="4" w:space="0" w:color="auto"/>
            </w:tcBorders>
            <w:shd w:val="clear" w:color="auto" w:fill="auto"/>
            <w:noWrap/>
            <w:vAlign w:val="bottom"/>
            <w:hideMark/>
          </w:tcPr>
          <w:p w14:paraId="702CE29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 cluster</w:t>
            </w:r>
          </w:p>
        </w:tc>
        <w:tc>
          <w:tcPr>
            <w:tcW w:w="872" w:type="dxa"/>
            <w:tcBorders>
              <w:top w:val="nil"/>
              <w:left w:val="nil"/>
              <w:bottom w:val="single" w:sz="4" w:space="0" w:color="auto"/>
              <w:right w:val="single" w:sz="4" w:space="0" w:color="auto"/>
            </w:tcBorders>
            <w:shd w:val="clear" w:color="auto" w:fill="auto"/>
            <w:noWrap/>
            <w:vAlign w:val="bottom"/>
            <w:hideMark/>
          </w:tcPr>
          <w:p w14:paraId="04FD41D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3 cluster</w:t>
            </w:r>
          </w:p>
        </w:tc>
        <w:tc>
          <w:tcPr>
            <w:tcW w:w="872" w:type="dxa"/>
            <w:tcBorders>
              <w:top w:val="nil"/>
              <w:left w:val="nil"/>
              <w:bottom w:val="single" w:sz="4" w:space="0" w:color="auto"/>
              <w:right w:val="single" w:sz="4" w:space="0" w:color="auto"/>
            </w:tcBorders>
            <w:shd w:val="clear" w:color="auto" w:fill="auto"/>
            <w:noWrap/>
            <w:vAlign w:val="bottom"/>
            <w:hideMark/>
          </w:tcPr>
          <w:p w14:paraId="02D31173"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4 cluster</w:t>
            </w:r>
          </w:p>
        </w:tc>
      </w:tr>
      <w:tr w:rsidR="0032057E" w:rsidRPr="00B97121" w14:paraId="2784555D" w14:textId="77777777" w:rsidTr="00B22C87">
        <w:trPr>
          <w:trHeight w:val="2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0961CB6" w14:textId="77777777" w:rsidR="0032057E" w:rsidRPr="0032057E" w:rsidRDefault="0032057E" w:rsidP="00B22C87">
            <w:pPr>
              <w:tabs>
                <w:tab w:val="left" w:pos="426"/>
                <w:tab w:val="left" w:pos="567"/>
              </w:tabs>
              <w:spacing w:line="360" w:lineRule="auto"/>
              <w:rPr>
                <w:rFonts w:asciiTheme="minorBidi" w:eastAsia="SimSun" w:hAnsiTheme="minorBidi" w:cstheme="minorBidi"/>
                <w:sz w:val="20"/>
                <w:szCs w:val="20"/>
                <w:lang w:val="en-US"/>
              </w:rPr>
            </w:pPr>
            <w:r w:rsidRPr="0032057E">
              <w:rPr>
                <w:rFonts w:asciiTheme="minorBidi" w:eastAsia="SimSun" w:hAnsiTheme="minorBidi" w:cstheme="minorBidi"/>
                <w:sz w:val="20"/>
                <w:szCs w:val="20"/>
                <w:lang w:val="en-US"/>
              </w:rPr>
              <w:t>The share of the population with incomes below $1.9.</w:t>
            </w:r>
          </w:p>
        </w:tc>
        <w:tc>
          <w:tcPr>
            <w:tcW w:w="851" w:type="dxa"/>
            <w:tcBorders>
              <w:top w:val="nil"/>
              <w:left w:val="nil"/>
              <w:bottom w:val="single" w:sz="4" w:space="0" w:color="auto"/>
              <w:right w:val="single" w:sz="4" w:space="0" w:color="auto"/>
            </w:tcBorders>
            <w:shd w:val="clear" w:color="auto" w:fill="auto"/>
            <w:noWrap/>
            <w:vAlign w:val="bottom"/>
          </w:tcPr>
          <w:p w14:paraId="39D8431E"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0,58</w:t>
            </w:r>
          </w:p>
        </w:tc>
        <w:tc>
          <w:tcPr>
            <w:tcW w:w="850" w:type="dxa"/>
            <w:tcBorders>
              <w:top w:val="nil"/>
              <w:left w:val="nil"/>
              <w:bottom w:val="single" w:sz="4" w:space="0" w:color="auto"/>
              <w:right w:val="single" w:sz="4" w:space="0" w:color="auto"/>
            </w:tcBorders>
            <w:shd w:val="clear" w:color="auto" w:fill="auto"/>
            <w:noWrap/>
            <w:vAlign w:val="bottom"/>
          </w:tcPr>
          <w:p w14:paraId="389396F0"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3,81</w:t>
            </w:r>
          </w:p>
        </w:tc>
        <w:tc>
          <w:tcPr>
            <w:tcW w:w="851" w:type="dxa"/>
            <w:tcBorders>
              <w:top w:val="nil"/>
              <w:left w:val="nil"/>
              <w:bottom w:val="single" w:sz="4" w:space="0" w:color="auto"/>
              <w:right w:val="single" w:sz="4" w:space="0" w:color="auto"/>
            </w:tcBorders>
            <w:shd w:val="clear" w:color="auto" w:fill="auto"/>
            <w:noWrap/>
            <w:vAlign w:val="bottom"/>
          </w:tcPr>
          <w:p w14:paraId="1112422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19,15</w:t>
            </w:r>
          </w:p>
        </w:tc>
        <w:tc>
          <w:tcPr>
            <w:tcW w:w="881" w:type="dxa"/>
            <w:tcBorders>
              <w:top w:val="nil"/>
              <w:left w:val="nil"/>
              <w:bottom w:val="single" w:sz="4" w:space="0" w:color="auto"/>
              <w:right w:val="single" w:sz="4" w:space="0" w:color="auto"/>
            </w:tcBorders>
            <w:shd w:val="clear" w:color="auto" w:fill="auto"/>
            <w:noWrap/>
            <w:vAlign w:val="bottom"/>
          </w:tcPr>
          <w:p w14:paraId="04802776"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58,0</w:t>
            </w:r>
          </w:p>
        </w:tc>
        <w:tc>
          <w:tcPr>
            <w:tcW w:w="845" w:type="dxa"/>
            <w:tcBorders>
              <w:top w:val="nil"/>
              <w:left w:val="nil"/>
              <w:bottom w:val="single" w:sz="4" w:space="0" w:color="auto"/>
              <w:right w:val="single" w:sz="4" w:space="0" w:color="auto"/>
            </w:tcBorders>
            <w:shd w:val="clear" w:color="auto" w:fill="auto"/>
            <w:noWrap/>
            <w:vAlign w:val="bottom"/>
          </w:tcPr>
          <w:p w14:paraId="43769F2D"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1,32</w:t>
            </w:r>
          </w:p>
        </w:tc>
        <w:tc>
          <w:tcPr>
            <w:tcW w:w="872" w:type="dxa"/>
            <w:tcBorders>
              <w:top w:val="nil"/>
              <w:left w:val="nil"/>
              <w:bottom w:val="single" w:sz="4" w:space="0" w:color="auto"/>
              <w:right w:val="single" w:sz="4" w:space="0" w:color="auto"/>
            </w:tcBorders>
            <w:shd w:val="clear" w:color="auto" w:fill="auto"/>
            <w:noWrap/>
            <w:vAlign w:val="bottom"/>
          </w:tcPr>
          <w:p w14:paraId="38C55BDD"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0,38</w:t>
            </w:r>
          </w:p>
        </w:tc>
        <w:tc>
          <w:tcPr>
            <w:tcW w:w="872" w:type="dxa"/>
            <w:tcBorders>
              <w:top w:val="nil"/>
              <w:left w:val="nil"/>
              <w:bottom w:val="single" w:sz="4" w:space="0" w:color="auto"/>
              <w:right w:val="single" w:sz="4" w:space="0" w:color="auto"/>
            </w:tcBorders>
            <w:shd w:val="clear" w:color="auto" w:fill="auto"/>
            <w:noWrap/>
            <w:vAlign w:val="bottom"/>
          </w:tcPr>
          <w:p w14:paraId="0661F0F3"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17,83</w:t>
            </w:r>
          </w:p>
        </w:tc>
        <w:tc>
          <w:tcPr>
            <w:tcW w:w="872" w:type="dxa"/>
            <w:tcBorders>
              <w:top w:val="nil"/>
              <w:left w:val="nil"/>
              <w:bottom w:val="single" w:sz="4" w:space="0" w:color="auto"/>
              <w:right w:val="single" w:sz="4" w:space="0" w:color="auto"/>
            </w:tcBorders>
            <w:shd w:val="clear" w:color="auto" w:fill="auto"/>
            <w:noWrap/>
            <w:vAlign w:val="bottom"/>
          </w:tcPr>
          <w:p w14:paraId="76654E93"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55,90</w:t>
            </w:r>
          </w:p>
        </w:tc>
      </w:tr>
      <w:tr w:rsidR="0032057E" w:rsidRPr="00B97121" w14:paraId="7467E405" w14:textId="77777777" w:rsidTr="00B22C87">
        <w:trPr>
          <w:trHeight w:val="2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ACBA349" w14:textId="77777777" w:rsidR="0032057E" w:rsidRPr="0032057E" w:rsidRDefault="0032057E" w:rsidP="00B22C87">
            <w:pPr>
              <w:tabs>
                <w:tab w:val="left" w:pos="426"/>
                <w:tab w:val="left" w:pos="567"/>
              </w:tabs>
              <w:spacing w:line="360" w:lineRule="auto"/>
              <w:rPr>
                <w:rFonts w:asciiTheme="minorBidi" w:eastAsia="SimSun" w:hAnsiTheme="minorBidi" w:cstheme="minorBidi"/>
                <w:sz w:val="20"/>
                <w:szCs w:val="20"/>
                <w:lang w:val="en-US"/>
              </w:rPr>
            </w:pPr>
            <w:r w:rsidRPr="0032057E">
              <w:rPr>
                <w:rFonts w:asciiTheme="minorBidi" w:eastAsia="SimSun" w:hAnsiTheme="minorBidi" w:cstheme="minorBidi"/>
                <w:sz w:val="20"/>
                <w:szCs w:val="20"/>
                <w:lang w:val="en-US"/>
              </w:rPr>
              <w:t>The share of the population with incomes below $3.2.</w:t>
            </w:r>
          </w:p>
        </w:tc>
        <w:tc>
          <w:tcPr>
            <w:tcW w:w="851" w:type="dxa"/>
            <w:tcBorders>
              <w:top w:val="nil"/>
              <w:left w:val="nil"/>
              <w:bottom w:val="single" w:sz="4" w:space="0" w:color="auto"/>
              <w:right w:val="single" w:sz="4" w:space="0" w:color="auto"/>
            </w:tcBorders>
            <w:shd w:val="clear" w:color="auto" w:fill="auto"/>
            <w:noWrap/>
            <w:vAlign w:val="bottom"/>
          </w:tcPr>
          <w:p w14:paraId="1143DA79"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1,52</w:t>
            </w:r>
          </w:p>
        </w:tc>
        <w:tc>
          <w:tcPr>
            <w:tcW w:w="850" w:type="dxa"/>
            <w:tcBorders>
              <w:top w:val="nil"/>
              <w:left w:val="nil"/>
              <w:bottom w:val="single" w:sz="4" w:space="0" w:color="auto"/>
              <w:right w:val="single" w:sz="4" w:space="0" w:color="auto"/>
            </w:tcBorders>
            <w:shd w:val="clear" w:color="auto" w:fill="auto"/>
            <w:noWrap/>
            <w:vAlign w:val="bottom"/>
          </w:tcPr>
          <w:p w14:paraId="73211B36"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12,29</w:t>
            </w:r>
          </w:p>
        </w:tc>
        <w:tc>
          <w:tcPr>
            <w:tcW w:w="851" w:type="dxa"/>
            <w:tcBorders>
              <w:top w:val="nil"/>
              <w:left w:val="nil"/>
              <w:bottom w:val="single" w:sz="4" w:space="0" w:color="auto"/>
              <w:right w:val="single" w:sz="4" w:space="0" w:color="auto"/>
            </w:tcBorders>
            <w:shd w:val="clear" w:color="auto" w:fill="auto"/>
            <w:noWrap/>
            <w:vAlign w:val="bottom"/>
          </w:tcPr>
          <w:p w14:paraId="581DDCDA"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43,82</w:t>
            </w:r>
          </w:p>
        </w:tc>
        <w:tc>
          <w:tcPr>
            <w:tcW w:w="881" w:type="dxa"/>
            <w:tcBorders>
              <w:top w:val="nil"/>
              <w:left w:val="nil"/>
              <w:bottom w:val="single" w:sz="4" w:space="0" w:color="auto"/>
              <w:right w:val="single" w:sz="4" w:space="0" w:color="auto"/>
            </w:tcBorders>
            <w:shd w:val="clear" w:color="auto" w:fill="auto"/>
            <w:noWrap/>
            <w:vAlign w:val="bottom"/>
          </w:tcPr>
          <w:p w14:paraId="0CAE8951"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80,7</w:t>
            </w:r>
          </w:p>
        </w:tc>
        <w:tc>
          <w:tcPr>
            <w:tcW w:w="845" w:type="dxa"/>
            <w:tcBorders>
              <w:top w:val="nil"/>
              <w:left w:val="nil"/>
              <w:bottom w:val="single" w:sz="4" w:space="0" w:color="auto"/>
              <w:right w:val="single" w:sz="4" w:space="0" w:color="auto"/>
            </w:tcBorders>
            <w:shd w:val="clear" w:color="auto" w:fill="auto"/>
            <w:noWrap/>
            <w:vAlign w:val="bottom"/>
          </w:tcPr>
          <w:p w14:paraId="1ED68E0B"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8,26</w:t>
            </w:r>
          </w:p>
        </w:tc>
        <w:tc>
          <w:tcPr>
            <w:tcW w:w="872" w:type="dxa"/>
            <w:tcBorders>
              <w:top w:val="nil"/>
              <w:left w:val="nil"/>
              <w:bottom w:val="single" w:sz="4" w:space="0" w:color="auto"/>
              <w:right w:val="single" w:sz="4" w:space="0" w:color="auto"/>
            </w:tcBorders>
            <w:shd w:val="clear" w:color="auto" w:fill="auto"/>
            <w:vAlign w:val="bottom"/>
          </w:tcPr>
          <w:p w14:paraId="2813F68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0,96</w:t>
            </w:r>
          </w:p>
        </w:tc>
        <w:tc>
          <w:tcPr>
            <w:tcW w:w="872" w:type="dxa"/>
            <w:tcBorders>
              <w:top w:val="nil"/>
              <w:left w:val="nil"/>
              <w:bottom w:val="single" w:sz="4" w:space="0" w:color="auto"/>
              <w:right w:val="single" w:sz="4" w:space="0" w:color="auto"/>
            </w:tcBorders>
            <w:shd w:val="clear" w:color="auto" w:fill="auto"/>
            <w:vAlign w:val="bottom"/>
          </w:tcPr>
          <w:p w14:paraId="20E4FA79"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39,93</w:t>
            </w:r>
          </w:p>
        </w:tc>
        <w:tc>
          <w:tcPr>
            <w:tcW w:w="872" w:type="dxa"/>
            <w:tcBorders>
              <w:top w:val="nil"/>
              <w:left w:val="nil"/>
              <w:bottom w:val="single" w:sz="4" w:space="0" w:color="auto"/>
              <w:right w:val="single" w:sz="4" w:space="0" w:color="auto"/>
            </w:tcBorders>
            <w:shd w:val="clear" w:color="auto" w:fill="auto"/>
            <w:vAlign w:val="bottom"/>
          </w:tcPr>
          <w:p w14:paraId="0B69C99B"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78,80</w:t>
            </w:r>
          </w:p>
        </w:tc>
      </w:tr>
      <w:tr w:rsidR="0032057E" w:rsidRPr="00B97121" w14:paraId="0AEC11DF" w14:textId="77777777" w:rsidTr="00B22C87">
        <w:trPr>
          <w:trHeight w:val="2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0A3942B"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Life expectancy, years</w:t>
            </w:r>
          </w:p>
        </w:tc>
        <w:tc>
          <w:tcPr>
            <w:tcW w:w="851" w:type="dxa"/>
            <w:tcBorders>
              <w:top w:val="nil"/>
              <w:left w:val="nil"/>
              <w:bottom w:val="single" w:sz="4" w:space="0" w:color="auto"/>
              <w:right w:val="single" w:sz="4" w:space="0" w:color="auto"/>
            </w:tcBorders>
            <w:shd w:val="clear" w:color="auto" w:fill="auto"/>
            <w:noWrap/>
            <w:vAlign w:val="bottom"/>
          </w:tcPr>
          <w:p w14:paraId="2E78154E"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78,61</w:t>
            </w:r>
          </w:p>
        </w:tc>
        <w:tc>
          <w:tcPr>
            <w:tcW w:w="850" w:type="dxa"/>
            <w:tcBorders>
              <w:top w:val="nil"/>
              <w:left w:val="nil"/>
              <w:bottom w:val="single" w:sz="4" w:space="0" w:color="auto"/>
              <w:right w:val="single" w:sz="4" w:space="0" w:color="auto"/>
            </w:tcBorders>
            <w:shd w:val="clear" w:color="auto" w:fill="auto"/>
            <w:noWrap/>
            <w:vAlign w:val="bottom"/>
          </w:tcPr>
          <w:p w14:paraId="4FD62973"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73,64</w:t>
            </w:r>
          </w:p>
        </w:tc>
        <w:tc>
          <w:tcPr>
            <w:tcW w:w="851" w:type="dxa"/>
            <w:tcBorders>
              <w:top w:val="nil"/>
              <w:left w:val="nil"/>
              <w:bottom w:val="single" w:sz="4" w:space="0" w:color="auto"/>
              <w:right w:val="single" w:sz="4" w:space="0" w:color="auto"/>
            </w:tcBorders>
            <w:shd w:val="clear" w:color="auto" w:fill="auto"/>
            <w:noWrap/>
            <w:vAlign w:val="bottom"/>
          </w:tcPr>
          <w:p w14:paraId="660111FE"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65,61</w:t>
            </w:r>
          </w:p>
        </w:tc>
        <w:tc>
          <w:tcPr>
            <w:tcW w:w="881" w:type="dxa"/>
            <w:tcBorders>
              <w:top w:val="nil"/>
              <w:left w:val="nil"/>
              <w:bottom w:val="single" w:sz="4" w:space="0" w:color="auto"/>
              <w:right w:val="single" w:sz="4" w:space="0" w:color="auto"/>
            </w:tcBorders>
            <w:shd w:val="clear" w:color="auto" w:fill="auto"/>
            <w:noWrap/>
            <w:vAlign w:val="bottom"/>
          </w:tcPr>
          <w:p w14:paraId="521C28B8"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60,6</w:t>
            </w:r>
          </w:p>
        </w:tc>
        <w:tc>
          <w:tcPr>
            <w:tcW w:w="845" w:type="dxa"/>
            <w:tcBorders>
              <w:top w:val="nil"/>
              <w:left w:val="nil"/>
              <w:bottom w:val="single" w:sz="4" w:space="0" w:color="auto"/>
              <w:right w:val="single" w:sz="4" w:space="0" w:color="auto"/>
            </w:tcBorders>
            <w:shd w:val="clear" w:color="auto" w:fill="auto"/>
            <w:noWrap/>
            <w:vAlign w:val="bottom"/>
          </w:tcPr>
          <w:p w14:paraId="1D5306D1"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75,24</w:t>
            </w:r>
          </w:p>
        </w:tc>
        <w:tc>
          <w:tcPr>
            <w:tcW w:w="872" w:type="dxa"/>
            <w:tcBorders>
              <w:top w:val="nil"/>
              <w:left w:val="nil"/>
              <w:bottom w:val="single" w:sz="4" w:space="0" w:color="auto"/>
              <w:right w:val="single" w:sz="4" w:space="0" w:color="auto"/>
            </w:tcBorders>
            <w:shd w:val="clear" w:color="auto" w:fill="auto"/>
            <w:noWrap/>
            <w:vAlign w:val="bottom"/>
          </w:tcPr>
          <w:p w14:paraId="15394FF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79,16</w:t>
            </w:r>
          </w:p>
        </w:tc>
        <w:tc>
          <w:tcPr>
            <w:tcW w:w="872" w:type="dxa"/>
            <w:tcBorders>
              <w:top w:val="nil"/>
              <w:left w:val="nil"/>
              <w:bottom w:val="single" w:sz="4" w:space="0" w:color="auto"/>
              <w:right w:val="single" w:sz="4" w:space="0" w:color="auto"/>
            </w:tcBorders>
            <w:shd w:val="clear" w:color="auto" w:fill="auto"/>
            <w:noWrap/>
            <w:vAlign w:val="bottom"/>
          </w:tcPr>
          <w:p w14:paraId="52BCF6D1"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66,67</w:t>
            </w:r>
          </w:p>
        </w:tc>
        <w:tc>
          <w:tcPr>
            <w:tcW w:w="872" w:type="dxa"/>
            <w:tcBorders>
              <w:top w:val="nil"/>
              <w:left w:val="nil"/>
              <w:bottom w:val="single" w:sz="4" w:space="0" w:color="auto"/>
              <w:right w:val="single" w:sz="4" w:space="0" w:color="auto"/>
            </w:tcBorders>
            <w:shd w:val="clear" w:color="auto" w:fill="auto"/>
            <w:noWrap/>
            <w:vAlign w:val="bottom"/>
          </w:tcPr>
          <w:p w14:paraId="36558C17"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62,45</w:t>
            </w:r>
          </w:p>
        </w:tc>
      </w:tr>
      <w:tr w:rsidR="0032057E" w:rsidRPr="00B97121" w14:paraId="7B91A183" w14:textId="77777777" w:rsidTr="00B22C87">
        <w:trPr>
          <w:trHeight w:val="2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763E61" w14:textId="77777777" w:rsidR="0032057E" w:rsidRPr="0032057E" w:rsidRDefault="0032057E" w:rsidP="00B22C87">
            <w:pPr>
              <w:tabs>
                <w:tab w:val="left" w:pos="426"/>
                <w:tab w:val="left" w:pos="567"/>
              </w:tabs>
              <w:spacing w:line="360" w:lineRule="auto"/>
              <w:rPr>
                <w:rFonts w:asciiTheme="minorBidi" w:eastAsia="SimSun" w:hAnsiTheme="minorBidi" w:cstheme="minorBidi"/>
                <w:sz w:val="20"/>
                <w:szCs w:val="20"/>
                <w:lang w:val="en-US"/>
              </w:rPr>
            </w:pPr>
            <w:r w:rsidRPr="0032057E">
              <w:rPr>
                <w:rFonts w:asciiTheme="minorBidi" w:eastAsia="SimSun" w:hAnsiTheme="minorBidi" w:cstheme="minorBidi"/>
                <w:sz w:val="20"/>
                <w:szCs w:val="20"/>
                <w:lang w:val="en-US"/>
              </w:rPr>
              <w:t>Mortality rate up to 1 year</w:t>
            </w:r>
          </w:p>
        </w:tc>
        <w:tc>
          <w:tcPr>
            <w:tcW w:w="851" w:type="dxa"/>
            <w:tcBorders>
              <w:top w:val="nil"/>
              <w:left w:val="nil"/>
              <w:bottom w:val="single" w:sz="4" w:space="0" w:color="auto"/>
              <w:right w:val="single" w:sz="4" w:space="0" w:color="auto"/>
            </w:tcBorders>
            <w:shd w:val="clear" w:color="auto" w:fill="auto"/>
            <w:noWrap/>
            <w:vAlign w:val="bottom"/>
          </w:tcPr>
          <w:p w14:paraId="5C43C2B6"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3,95</w:t>
            </w:r>
          </w:p>
        </w:tc>
        <w:tc>
          <w:tcPr>
            <w:tcW w:w="850" w:type="dxa"/>
            <w:tcBorders>
              <w:top w:val="nil"/>
              <w:left w:val="nil"/>
              <w:bottom w:val="single" w:sz="4" w:space="0" w:color="auto"/>
              <w:right w:val="single" w:sz="4" w:space="0" w:color="auto"/>
            </w:tcBorders>
            <w:shd w:val="clear" w:color="auto" w:fill="auto"/>
            <w:noWrap/>
            <w:vAlign w:val="bottom"/>
          </w:tcPr>
          <w:p w14:paraId="2E91B827"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11,10</w:t>
            </w:r>
          </w:p>
        </w:tc>
        <w:tc>
          <w:tcPr>
            <w:tcW w:w="851" w:type="dxa"/>
            <w:tcBorders>
              <w:top w:val="nil"/>
              <w:left w:val="nil"/>
              <w:bottom w:val="single" w:sz="4" w:space="0" w:color="auto"/>
              <w:right w:val="single" w:sz="4" w:space="0" w:color="auto"/>
            </w:tcBorders>
            <w:shd w:val="clear" w:color="auto" w:fill="auto"/>
            <w:noWrap/>
            <w:vAlign w:val="bottom"/>
          </w:tcPr>
          <w:p w14:paraId="2752898F"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24,42</w:t>
            </w:r>
          </w:p>
        </w:tc>
        <w:tc>
          <w:tcPr>
            <w:tcW w:w="881" w:type="dxa"/>
            <w:tcBorders>
              <w:top w:val="nil"/>
              <w:left w:val="nil"/>
              <w:bottom w:val="single" w:sz="4" w:space="0" w:color="auto"/>
              <w:right w:val="single" w:sz="4" w:space="0" w:color="auto"/>
            </w:tcBorders>
            <w:shd w:val="clear" w:color="auto" w:fill="auto"/>
            <w:noWrap/>
            <w:vAlign w:val="bottom"/>
          </w:tcPr>
          <w:p w14:paraId="2474012D"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29,9</w:t>
            </w:r>
          </w:p>
        </w:tc>
        <w:tc>
          <w:tcPr>
            <w:tcW w:w="845" w:type="dxa"/>
            <w:tcBorders>
              <w:top w:val="nil"/>
              <w:left w:val="nil"/>
              <w:bottom w:val="single" w:sz="4" w:space="0" w:color="auto"/>
              <w:right w:val="single" w:sz="4" w:space="0" w:color="auto"/>
            </w:tcBorders>
            <w:shd w:val="clear" w:color="auto" w:fill="auto"/>
            <w:noWrap/>
            <w:vAlign w:val="bottom"/>
          </w:tcPr>
          <w:p w14:paraId="115DE71A"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9,31</w:t>
            </w:r>
          </w:p>
        </w:tc>
        <w:tc>
          <w:tcPr>
            <w:tcW w:w="872" w:type="dxa"/>
            <w:tcBorders>
              <w:top w:val="nil"/>
              <w:left w:val="nil"/>
              <w:bottom w:val="single" w:sz="4" w:space="0" w:color="auto"/>
              <w:right w:val="single" w:sz="4" w:space="0" w:color="auto"/>
            </w:tcBorders>
            <w:shd w:val="clear" w:color="auto" w:fill="auto"/>
            <w:noWrap/>
            <w:vAlign w:val="bottom"/>
          </w:tcPr>
          <w:p w14:paraId="5A779C6C"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3,64</w:t>
            </w:r>
          </w:p>
        </w:tc>
        <w:tc>
          <w:tcPr>
            <w:tcW w:w="872" w:type="dxa"/>
            <w:tcBorders>
              <w:top w:val="nil"/>
              <w:left w:val="nil"/>
              <w:bottom w:val="single" w:sz="4" w:space="0" w:color="auto"/>
              <w:right w:val="single" w:sz="4" w:space="0" w:color="auto"/>
            </w:tcBorders>
            <w:shd w:val="clear" w:color="auto" w:fill="auto"/>
            <w:noWrap/>
            <w:vAlign w:val="bottom"/>
          </w:tcPr>
          <w:p w14:paraId="39B8BC1E"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22,14</w:t>
            </w:r>
          </w:p>
        </w:tc>
        <w:tc>
          <w:tcPr>
            <w:tcW w:w="872" w:type="dxa"/>
            <w:tcBorders>
              <w:top w:val="nil"/>
              <w:left w:val="nil"/>
              <w:bottom w:val="single" w:sz="4" w:space="0" w:color="auto"/>
              <w:right w:val="single" w:sz="4" w:space="0" w:color="auto"/>
            </w:tcBorders>
            <w:shd w:val="clear" w:color="auto" w:fill="auto"/>
            <w:noWrap/>
            <w:vAlign w:val="bottom"/>
          </w:tcPr>
          <w:p w14:paraId="7F159F6A"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27,95</w:t>
            </w:r>
          </w:p>
        </w:tc>
      </w:tr>
      <w:tr w:rsidR="0032057E" w:rsidRPr="00B97121" w14:paraId="68E2BEB9" w14:textId="77777777" w:rsidTr="00B22C87">
        <w:trPr>
          <w:trHeight w:val="2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CEE101C" w14:textId="77777777" w:rsidR="0032057E" w:rsidRPr="0032057E" w:rsidRDefault="0032057E" w:rsidP="00B22C87">
            <w:pPr>
              <w:tabs>
                <w:tab w:val="left" w:pos="426"/>
                <w:tab w:val="left" w:pos="567"/>
              </w:tabs>
              <w:spacing w:line="360" w:lineRule="auto"/>
              <w:rPr>
                <w:rFonts w:asciiTheme="minorBidi" w:eastAsia="SimSun" w:hAnsiTheme="minorBidi" w:cstheme="minorBidi"/>
                <w:sz w:val="20"/>
                <w:szCs w:val="20"/>
                <w:lang w:val="en-US"/>
              </w:rPr>
            </w:pPr>
            <w:r w:rsidRPr="0032057E">
              <w:rPr>
                <w:rFonts w:asciiTheme="minorBidi" w:eastAsia="SimSun" w:hAnsiTheme="minorBidi" w:cstheme="minorBidi"/>
                <w:sz w:val="20"/>
                <w:szCs w:val="20"/>
                <w:lang w:val="en-US"/>
              </w:rPr>
              <w:t>The proportion of the population using the Internet network</w:t>
            </w:r>
          </w:p>
        </w:tc>
        <w:tc>
          <w:tcPr>
            <w:tcW w:w="851" w:type="dxa"/>
            <w:tcBorders>
              <w:top w:val="nil"/>
              <w:left w:val="nil"/>
              <w:bottom w:val="single" w:sz="4" w:space="0" w:color="auto"/>
              <w:right w:val="single" w:sz="4" w:space="0" w:color="auto"/>
            </w:tcBorders>
            <w:shd w:val="clear" w:color="auto" w:fill="auto"/>
            <w:noWrap/>
            <w:vAlign w:val="bottom"/>
          </w:tcPr>
          <w:p w14:paraId="73ECBCD6"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77,43</w:t>
            </w:r>
          </w:p>
        </w:tc>
        <w:tc>
          <w:tcPr>
            <w:tcW w:w="850" w:type="dxa"/>
            <w:tcBorders>
              <w:top w:val="nil"/>
              <w:left w:val="nil"/>
              <w:bottom w:val="single" w:sz="4" w:space="0" w:color="auto"/>
              <w:right w:val="single" w:sz="4" w:space="0" w:color="auto"/>
            </w:tcBorders>
            <w:shd w:val="clear" w:color="auto" w:fill="auto"/>
            <w:noWrap/>
            <w:vAlign w:val="bottom"/>
          </w:tcPr>
          <w:p w14:paraId="5C15668F"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47,63</w:t>
            </w:r>
          </w:p>
        </w:tc>
        <w:tc>
          <w:tcPr>
            <w:tcW w:w="851" w:type="dxa"/>
            <w:tcBorders>
              <w:top w:val="nil"/>
              <w:left w:val="nil"/>
              <w:bottom w:val="single" w:sz="4" w:space="0" w:color="auto"/>
              <w:right w:val="single" w:sz="4" w:space="0" w:color="auto"/>
            </w:tcBorders>
            <w:shd w:val="clear" w:color="auto" w:fill="auto"/>
            <w:noWrap/>
            <w:vAlign w:val="bottom"/>
          </w:tcPr>
          <w:p w14:paraId="3C0C6FDD"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19,11</w:t>
            </w:r>
          </w:p>
        </w:tc>
        <w:tc>
          <w:tcPr>
            <w:tcW w:w="881" w:type="dxa"/>
            <w:tcBorders>
              <w:top w:val="nil"/>
              <w:left w:val="nil"/>
              <w:bottom w:val="single" w:sz="4" w:space="0" w:color="auto"/>
              <w:right w:val="single" w:sz="4" w:space="0" w:color="auto"/>
            </w:tcBorders>
            <w:shd w:val="clear" w:color="auto" w:fill="auto"/>
            <w:noWrap/>
            <w:vAlign w:val="bottom"/>
          </w:tcPr>
          <w:p w14:paraId="442C4B0D"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10,3</w:t>
            </w:r>
          </w:p>
        </w:tc>
        <w:tc>
          <w:tcPr>
            <w:tcW w:w="845" w:type="dxa"/>
            <w:tcBorders>
              <w:top w:val="nil"/>
              <w:left w:val="nil"/>
              <w:bottom w:val="single" w:sz="4" w:space="0" w:color="auto"/>
              <w:right w:val="single" w:sz="4" w:space="0" w:color="auto"/>
            </w:tcBorders>
            <w:shd w:val="clear" w:color="auto" w:fill="auto"/>
            <w:noWrap/>
            <w:vAlign w:val="bottom"/>
          </w:tcPr>
          <w:p w14:paraId="7247FC6C"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61,86</w:t>
            </w:r>
          </w:p>
        </w:tc>
        <w:tc>
          <w:tcPr>
            <w:tcW w:w="872" w:type="dxa"/>
            <w:tcBorders>
              <w:top w:val="nil"/>
              <w:left w:val="nil"/>
              <w:bottom w:val="single" w:sz="4" w:space="0" w:color="auto"/>
              <w:right w:val="single" w:sz="4" w:space="0" w:color="auto"/>
            </w:tcBorders>
            <w:shd w:val="clear" w:color="auto" w:fill="auto"/>
            <w:noWrap/>
            <w:vAlign w:val="bottom"/>
          </w:tcPr>
          <w:p w14:paraId="4EABBF1C"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84,60</w:t>
            </w:r>
          </w:p>
        </w:tc>
        <w:tc>
          <w:tcPr>
            <w:tcW w:w="872" w:type="dxa"/>
            <w:tcBorders>
              <w:top w:val="nil"/>
              <w:left w:val="nil"/>
              <w:bottom w:val="single" w:sz="4" w:space="0" w:color="auto"/>
              <w:right w:val="single" w:sz="4" w:space="0" w:color="auto"/>
            </w:tcBorders>
            <w:shd w:val="clear" w:color="auto" w:fill="auto"/>
            <w:noWrap/>
            <w:vAlign w:val="bottom"/>
          </w:tcPr>
          <w:p w14:paraId="2DCF6306"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24,95</w:t>
            </w:r>
          </w:p>
        </w:tc>
        <w:tc>
          <w:tcPr>
            <w:tcW w:w="872" w:type="dxa"/>
            <w:tcBorders>
              <w:top w:val="nil"/>
              <w:left w:val="nil"/>
              <w:bottom w:val="single" w:sz="4" w:space="0" w:color="auto"/>
              <w:right w:val="single" w:sz="4" w:space="0" w:color="auto"/>
            </w:tcBorders>
            <w:shd w:val="clear" w:color="auto" w:fill="auto"/>
            <w:noWrap/>
            <w:vAlign w:val="bottom"/>
          </w:tcPr>
          <w:p w14:paraId="0816AC75"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11,98</w:t>
            </w:r>
          </w:p>
        </w:tc>
      </w:tr>
      <w:tr w:rsidR="0032057E" w:rsidRPr="00B97121" w14:paraId="5CB354D4" w14:textId="77777777" w:rsidTr="00B22C87">
        <w:trPr>
          <w:trHeight w:val="2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DBB9E37" w14:textId="77777777" w:rsidR="0032057E" w:rsidRPr="0032057E" w:rsidRDefault="0032057E" w:rsidP="00B22C87">
            <w:pPr>
              <w:tabs>
                <w:tab w:val="left" w:pos="426"/>
                <w:tab w:val="left" w:pos="567"/>
              </w:tabs>
              <w:spacing w:line="360" w:lineRule="auto"/>
              <w:rPr>
                <w:rFonts w:asciiTheme="minorBidi" w:eastAsia="SimSun" w:hAnsiTheme="minorBidi" w:cstheme="minorBidi"/>
                <w:sz w:val="20"/>
                <w:szCs w:val="20"/>
                <w:lang w:val="en-US"/>
              </w:rPr>
            </w:pPr>
            <w:r w:rsidRPr="0032057E">
              <w:rPr>
                <w:rFonts w:asciiTheme="minorBidi" w:eastAsia="SimSun" w:hAnsiTheme="minorBidi" w:cstheme="minorBidi"/>
                <w:sz w:val="20"/>
                <w:szCs w:val="20"/>
                <w:lang w:val="en-US"/>
              </w:rPr>
              <w:t>Subscriptions for mobile broadband access (per 100 people of the population)</w:t>
            </w:r>
          </w:p>
        </w:tc>
        <w:tc>
          <w:tcPr>
            <w:tcW w:w="851" w:type="dxa"/>
            <w:tcBorders>
              <w:top w:val="nil"/>
              <w:left w:val="nil"/>
              <w:bottom w:val="single" w:sz="4" w:space="0" w:color="auto"/>
              <w:right w:val="single" w:sz="4" w:space="0" w:color="auto"/>
            </w:tcBorders>
            <w:shd w:val="clear" w:color="auto" w:fill="auto"/>
            <w:noWrap/>
            <w:vAlign w:val="bottom"/>
          </w:tcPr>
          <w:p w14:paraId="01B18A1D"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79,03</w:t>
            </w:r>
          </w:p>
        </w:tc>
        <w:tc>
          <w:tcPr>
            <w:tcW w:w="850" w:type="dxa"/>
            <w:tcBorders>
              <w:top w:val="nil"/>
              <w:left w:val="nil"/>
              <w:bottom w:val="single" w:sz="4" w:space="0" w:color="auto"/>
              <w:right w:val="single" w:sz="4" w:space="0" w:color="auto"/>
            </w:tcBorders>
            <w:shd w:val="clear" w:color="auto" w:fill="auto"/>
            <w:noWrap/>
            <w:vAlign w:val="bottom"/>
          </w:tcPr>
          <w:p w14:paraId="130C1DC1"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48,55</w:t>
            </w:r>
          </w:p>
        </w:tc>
        <w:tc>
          <w:tcPr>
            <w:tcW w:w="851" w:type="dxa"/>
            <w:tcBorders>
              <w:top w:val="nil"/>
              <w:left w:val="nil"/>
              <w:bottom w:val="single" w:sz="4" w:space="0" w:color="auto"/>
              <w:right w:val="single" w:sz="4" w:space="0" w:color="auto"/>
            </w:tcBorders>
            <w:shd w:val="clear" w:color="auto" w:fill="auto"/>
            <w:noWrap/>
            <w:vAlign w:val="bottom"/>
          </w:tcPr>
          <w:p w14:paraId="52DE36D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22,68</w:t>
            </w:r>
          </w:p>
        </w:tc>
        <w:tc>
          <w:tcPr>
            <w:tcW w:w="881" w:type="dxa"/>
            <w:tcBorders>
              <w:top w:val="nil"/>
              <w:left w:val="nil"/>
              <w:bottom w:val="single" w:sz="4" w:space="0" w:color="auto"/>
              <w:right w:val="single" w:sz="4" w:space="0" w:color="auto"/>
            </w:tcBorders>
            <w:shd w:val="clear" w:color="auto" w:fill="auto"/>
            <w:noWrap/>
            <w:vAlign w:val="bottom"/>
          </w:tcPr>
          <w:p w14:paraId="31EA38F6"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12,7</w:t>
            </w:r>
          </w:p>
        </w:tc>
        <w:tc>
          <w:tcPr>
            <w:tcW w:w="845" w:type="dxa"/>
            <w:tcBorders>
              <w:top w:val="nil"/>
              <w:left w:val="nil"/>
              <w:bottom w:val="single" w:sz="4" w:space="0" w:color="auto"/>
              <w:right w:val="single" w:sz="4" w:space="0" w:color="auto"/>
            </w:tcBorders>
            <w:shd w:val="clear" w:color="auto" w:fill="auto"/>
            <w:noWrap/>
            <w:vAlign w:val="bottom"/>
          </w:tcPr>
          <w:p w14:paraId="0197F5F6"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75,95</w:t>
            </w:r>
          </w:p>
        </w:tc>
        <w:tc>
          <w:tcPr>
            <w:tcW w:w="872" w:type="dxa"/>
            <w:tcBorders>
              <w:top w:val="nil"/>
              <w:left w:val="nil"/>
              <w:bottom w:val="single" w:sz="4" w:space="0" w:color="auto"/>
              <w:right w:val="single" w:sz="4" w:space="0" w:color="auto"/>
            </w:tcBorders>
            <w:shd w:val="clear" w:color="auto" w:fill="auto"/>
            <w:noWrap/>
            <w:vAlign w:val="bottom"/>
          </w:tcPr>
          <w:p w14:paraId="3DC38182"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104,00</w:t>
            </w:r>
          </w:p>
        </w:tc>
        <w:tc>
          <w:tcPr>
            <w:tcW w:w="872" w:type="dxa"/>
            <w:tcBorders>
              <w:top w:val="nil"/>
              <w:left w:val="nil"/>
              <w:bottom w:val="single" w:sz="4" w:space="0" w:color="auto"/>
              <w:right w:val="single" w:sz="4" w:space="0" w:color="auto"/>
            </w:tcBorders>
            <w:shd w:val="clear" w:color="auto" w:fill="auto"/>
            <w:noWrap/>
            <w:vAlign w:val="bottom"/>
          </w:tcPr>
          <w:p w14:paraId="104C3957"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26,53</w:t>
            </w:r>
          </w:p>
        </w:tc>
        <w:tc>
          <w:tcPr>
            <w:tcW w:w="872" w:type="dxa"/>
            <w:tcBorders>
              <w:top w:val="nil"/>
              <w:left w:val="nil"/>
              <w:bottom w:val="single" w:sz="4" w:space="0" w:color="auto"/>
              <w:right w:val="single" w:sz="4" w:space="0" w:color="auto"/>
            </w:tcBorders>
            <w:shd w:val="clear" w:color="auto" w:fill="auto"/>
            <w:noWrap/>
            <w:vAlign w:val="bottom"/>
          </w:tcPr>
          <w:p w14:paraId="574066C4" w14:textId="77777777" w:rsidR="0032057E" w:rsidRPr="00B97121" w:rsidRDefault="0032057E" w:rsidP="00B22C87">
            <w:pPr>
              <w:tabs>
                <w:tab w:val="left" w:pos="426"/>
                <w:tab w:val="left" w:pos="567"/>
              </w:tabs>
              <w:spacing w:line="360" w:lineRule="auto"/>
              <w:rPr>
                <w:rFonts w:asciiTheme="minorBidi" w:eastAsia="SimSun" w:hAnsiTheme="minorBidi" w:cstheme="minorBidi"/>
                <w:sz w:val="20"/>
                <w:szCs w:val="20"/>
                <w:lang w:val="ru-RU"/>
              </w:rPr>
            </w:pPr>
            <w:r w:rsidRPr="00B97121">
              <w:rPr>
                <w:rFonts w:asciiTheme="minorBidi" w:eastAsia="SimSun" w:hAnsiTheme="minorBidi" w:cstheme="minorBidi"/>
                <w:sz w:val="20"/>
                <w:szCs w:val="20"/>
                <w:lang w:val="ru-RU"/>
              </w:rPr>
              <w:t>23,49</w:t>
            </w:r>
          </w:p>
        </w:tc>
      </w:tr>
    </w:tbl>
    <w:p w14:paraId="66CA2ADF" w14:textId="77777777" w:rsidR="0032057E" w:rsidRPr="00B97121" w:rsidRDefault="0032057E" w:rsidP="0032057E">
      <w:pPr>
        <w:tabs>
          <w:tab w:val="left" w:pos="426"/>
          <w:tab w:val="left" w:pos="567"/>
        </w:tabs>
        <w:spacing w:line="360" w:lineRule="auto"/>
        <w:rPr>
          <w:rFonts w:asciiTheme="minorBidi" w:eastAsia="SimSun" w:hAnsiTheme="minorBidi" w:cstheme="minorBidi"/>
          <w:sz w:val="20"/>
          <w:szCs w:val="20"/>
          <w:lang w:val="ru-RU"/>
        </w:rPr>
      </w:pPr>
    </w:p>
    <w:p w14:paraId="74DB8F64" w14:textId="77777777" w:rsidR="0032057E" w:rsidRPr="0032057E" w:rsidRDefault="0032057E" w:rsidP="0032057E">
      <w:pPr>
        <w:tabs>
          <w:tab w:val="left" w:pos="426"/>
          <w:tab w:val="left" w:pos="567"/>
        </w:tabs>
        <w:spacing w:line="360" w:lineRule="auto"/>
        <w:jc w:val="center"/>
        <w:rPr>
          <w:rFonts w:asciiTheme="minorBidi" w:eastAsia="SimSun" w:hAnsiTheme="minorBidi" w:cstheme="minorBidi"/>
          <w:bCs/>
          <w:szCs w:val="24"/>
          <w:lang w:val="en-US"/>
        </w:rPr>
      </w:pPr>
      <w:r w:rsidRPr="0032057E">
        <w:rPr>
          <w:rFonts w:asciiTheme="minorBidi" w:eastAsia="SimSun" w:hAnsiTheme="minorBidi" w:cstheme="minorBidi"/>
          <w:bCs/>
          <w:szCs w:val="24"/>
          <w:lang w:val="en-US"/>
        </w:rPr>
        <w:t>Table 4: Distribution of countries by clusters</w:t>
      </w:r>
    </w:p>
    <w:tbl>
      <w:tblPr>
        <w:tblStyle w:val="Tablaconcuadrcula"/>
        <w:tblW w:w="9299" w:type="dxa"/>
        <w:jc w:val="center"/>
        <w:tblLook w:val="04A0" w:firstRow="1" w:lastRow="0" w:firstColumn="1" w:lastColumn="0" w:noHBand="0" w:noVBand="1"/>
      </w:tblPr>
      <w:tblGrid>
        <w:gridCol w:w="4221"/>
        <w:gridCol w:w="35"/>
        <w:gridCol w:w="406"/>
        <w:gridCol w:w="10"/>
        <w:gridCol w:w="4135"/>
        <w:gridCol w:w="10"/>
        <w:gridCol w:w="472"/>
        <w:gridCol w:w="10"/>
      </w:tblGrid>
      <w:tr w:rsidR="0032057E" w:rsidRPr="00B97121" w14:paraId="757AE4F8" w14:textId="77777777" w:rsidTr="00B22C87">
        <w:trPr>
          <w:gridAfter w:val="1"/>
          <w:wAfter w:w="10" w:type="dxa"/>
          <w:jc w:val="center"/>
        </w:trPr>
        <w:tc>
          <w:tcPr>
            <w:tcW w:w="4692" w:type="dxa"/>
            <w:gridSpan w:val="3"/>
          </w:tcPr>
          <w:p w14:paraId="2618DC20" w14:textId="77777777" w:rsidR="0032057E" w:rsidRPr="00B97121" w:rsidRDefault="0032057E" w:rsidP="00B22C87">
            <w:pPr>
              <w:tabs>
                <w:tab w:val="left" w:pos="426"/>
                <w:tab w:val="left" w:pos="567"/>
              </w:tabs>
              <w:spacing w:line="360" w:lineRule="auto"/>
              <w:rPr>
                <w:rFonts w:asciiTheme="minorBidi" w:eastAsia="SimSun" w:hAnsiTheme="minorBidi"/>
                <w:b/>
                <w:sz w:val="20"/>
                <w:szCs w:val="20"/>
                <w:lang w:val="ru-RU"/>
              </w:rPr>
            </w:pPr>
            <w:r w:rsidRPr="00B97121">
              <w:rPr>
                <w:rFonts w:asciiTheme="minorBidi" w:eastAsia="SimSun" w:hAnsiTheme="minorBidi"/>
                <w:b/>
                <w:sz w:val="20"/>
                <w:szCs w:val="20"/>
                <w:lang w:val="ru-RU"/>
              </w:rPr>
              <w:t>2015 year</w:t>
            </w:r>
          </w:p>
        </w:tc>
        <w:tc>
          <w:tcPr>
            <w:tcW w:w="4657" w:type="dxa"/>
            <w:gridSpan w:val="4"/>
          </w:tcPr>
          <w:p w14:paraId="22C18793" w14:textId="77777777" w:rsidR="0032057E" w:rsidRPr="00B97121" w:rsidRDefault="0032057E" w:rsidP="00B22C87">
            <w:pPr>
              <w:tabs>
                <w:tab w:val="left" w:pos="426"/>
                <w:tab w:val="left" w:pos="567"/>
              </w:tabs>
              <w:spacing w:line="360" w:lineRule="auto"/>
              <w:rPr>
                <w:rFonts w:asciiTheme="minorBidi" w:eastAsia="SimSun" w:hAnsiTheme="minorBidi"/>
                <w:b/>
                <w:sz w:val="20"/>
                <w:szCs w:val="20"/>
                <w:lang w:val="ru-RU"/>
              </w:rPr>
            </w:pPr>
            <w:r w:rsidRPr="00B97121">
              <w:rPr>
                <w:rFonts w:asciiTheme="minorBidi" w:eastAsia="SimSun" w:hAnsiTheme="minorBidi"/>
                <w:b/>
                <w:sz w:val="20"/>
                <w:szCs w:val="20"/>
                <w:lang w:val="ru-RU"/>
              </w:rPr>
              <w:t>2019 year</w:t>
            </w:r>
          </w:p>
        </w:tc>
      </w:tr>
      <w:tr w:rsidR="0032057E" w:rsidRPr="00B97121" w14:paraId="0355B03D" w14:textId="77777777" w:rsidTr="00B22C87">
        <w:trPr>
          <w:gridAfter w:val="1"/>
          <w:wAfter w:w="10" w:type="dxa"/>
          <w:jc w:val="center"/>
        </w:trPr>
        <w:tc>
          <w:tcPr>
            <w:tcW w:w="9349" w:type="dxa"/>
            <w:gridSpan w:val="7"/>
          </w:tcPr>
          <w:p w14:paraId="06AF04BE" w14:textId="77777777" w:rsidR="0032057E" w:rsidRPr="00B97121" w:rsidRDefault="0032057E" w:rsidP="00B22C87">
            <w:pPr>
              <w:tabs>
                <w:tab w:val="left" w:pos="426"/>
                <w:tab w:val="left" w:pos="567"/>
              </w:tabs>
              <w:spacing w:line="360" w:lineRule="auto"/>
              <w:rPr>
                <w:rFonts w:asciiTheme="minorBidi" w:eastAsia="SimSun" w:hAnsiTheme="minorBidi"/>
                <w:b/>
                <w:sz w:val="20"/>
                <w:szCs w:val="20"/>
                <w:lang w:val="ru-RU"/>
              </w:rPr>
            </w:pPr>
            <w:r w:rsidRPr="00B97121">
              <w:rPr>
                <w:rFonts w:asciiTheme="minorBidi" w:eastAsia="SimSun" w:hAnsiTheme="minorBidi"/>
                <w:b/>
                <w:sz w:val="20"/>
                <w:szCs w:val="20"/>
                <w:lang w:val="ru-RU"/>
              </w:rPr>
              <w:t>1 cluster</w:t>
            </w:r>
          </w:p>
        </w:tc>
      </w:tr>
      <w:tr w:rsidR="0032057E" w:rsidRPr="00B97121" w14:paraId="50626DDB" w14:textId="77777777" w:rsidTr="00B22C87">
        <w:trPr>
          <w:jc w:val="center"/>
        </w:trPr>
        <w:tc>
          <w:tcPr>
            <w:tcW w:w="4286" w:type="dxa"/>
            <w:gridSpan w:val="2"/>
          </w:tcPr>
          <w:p w14:paraId="0956C504"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 xml:space="preserve">Albania, </w:t>
            </w:r>
            <w:proofErr w:type="spellStart"/>
            <w:r w:rsidRPr="00B97121">
              <w:rPr>
                <w:rFonts w:asciiTheme="minorBidi" w:eastAsia="SimSun" w:hAnsiTheme="minorBidi"/>
                <w:sz w:val="20"/>
                <w:szCs w:val="20"/>
              </w:rPr>
              <w:t>United</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Arab</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Emirates</w:t>
            </w:r>
            <w:proofErr w:type="spellEnd"/>
            <w:r w:rsidRPr="00B97121">
              <w:rPr>
                <w:rFonts w:asciiTheme="minorBidi" w:eastAsia="SimSun" w:hAnsiTheme="minorBidi"/>
                <w:sz w:val="20"/>
                <w:szCs w:val="20"/>
              </w:rPr>
              <w:t xml:space="preserve">, Australia, Austria, </w:t>
            </w:r>
            <w:proofErr w:type="spellStart"/>
            <w:r w:rsidRPr="00B97121">
              <w:rPr>
                <w:rFonts w:asciiTheme="minorBidi" w:eastAsia="SimSun" w:hAnsiTheme="minorBidi"/>
                <w:sz w:val="20"/>
                <w:szCs w:val="20"/>
              </w:rPr>
              <w:t>Azerbaijan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Belgium</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Belarus</w:t>
            </w:r>
            <w:proofErr w:type="spellEnd"/>
            <w:r w:rsidRPr="00B97121">
              <w:rPr>
                <w:rFonts w:asciiTheme="minorBidi" w:eastAsia="SimSun" w:hAnsiTheme="minorBidi"/>
                <w:sz w:val="20"/>
                <w:szCs w:val="20"/>
              </w:rPr>
              <w:t xml:space="preserve">, Barbados, </w:t>
            </w:r>
            <w:proofErr w:type="spellStart"/>
            <w:r w:rsidRPr="00B97121">
              <w:rPr>
                <w:rFonts w:asciiTheme="minorBidi" w:eastAsia="SimSun" w:hAnsiTheme="minorBidi"/>
                <w:sz w:val="20"/>
                <w:szCs w:val="20"/>
              </w:rPr>
              <w:t>Canada</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Switzerland</w:t>
            </w:r>
            <w:proofErr w:type="spellEnd"/>
            <w:r w:rsidRPr="00B97121">
              <w:rPr>
                <w:rFonts w:asciiTheme="minorBidi" w:eastAsia="SimSun" w:hAnsiTheme="minorBidi"/>
                <w:sz w:val="20"/>
                <w:szCs w:val="20"/>
              </w:rPr>
              <w:t xml:space="preserve">, Chile, Costa Rica, </w:t>
            </w:r>
            <w:proofErr w:type="spellStart"/>
            <w:r w:rsidRPr="00B97121">
              <w:rPr>
                <w:rFonts w:asciiTheme="minorBidi" w:eastAsia="SimSun" w:hAnsiTheme="minorBidi"/>
                <w:sz w:val="20"/>
                <w:szCs w:val="20"/>
              </w:rPr>
              <w:t>Cyprus</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Czech</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Republic</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Germany</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Denmark</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Spain</w:t>
            </w:r>
            <w:proofErr w:type="spellEnd"/>
            <w:r w:rsidRPr="00B97121">
              <w:rPr>
                <w:rFonts w:asciiTheme="minorBidi" w:eastAsia="SimSun" w:hAnsiTheme="minorBidi"/>
                <w:sz w:val="20"/>
                <w:szCs w:val="20"/>
              </w:rPr>
              <w:t xml:space="preserve">, Estonia, </w:t>
            </w:r>
            <w:proofErr w:type="spellStart"/>
            <w:r w:rsidRPr="00B97121">
              <w:rPr>
                <w:rFonts w:asciiTheme="minorBidi" w:eastAsia="SimSun" w:hAnsiTheme="minorBidi"/>
                <w:sz w:val="20"/>
                <w:szCs w:val="20"/>
              </w:rPr>
              <w:t>Finland</w:t>
            </w:r>
            <w:proofErr w:type="spellEnd"/>
            <w:r w:rsidRPr="00B97121">
              <w:rPr>
                <w:rFonts w:asciiTheme="minorBidi" w:eastAsia="SimSun" w:hAnsiTheme="minorBidi"/>
                <w:sz w:val="20"/>
                <w:szCs w:val="20"/>
              </w:rPr>
              <w:t xml:space="preserve">, France, </w:t>
            </w:r>
            <w:proofErr w:type="spellStart"/>
            <w:r w:rsidRPr="00B97121">
              <w:rPr>
                <w:rFonts w:asciiTheme="minorBidi" w:eastAsia="SimSun" w:hAnsiTheme="minorBidi"/>
                <w:sz w:val="20"/>
                <w:szCs w:val="20"/>
              </w:rPr>
              <w:t>United</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Kingdom</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Greece</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Croatia</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Hungary</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Ireland</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Iceland</w:t>
            </w:r>
            <w:proofErr w:type="spellEnd"/>
            <w:r w:rsidRPr="00B97121">
              <w:rPr>
                <w:rFonts w:asciiTheme="minorBidi" w:eastAsia="SimSun" w:hAnsiTheme="minorBidi"/>
                <w:sz w:val="20"/>
                <w:szCs w:val="20"/>
              </w:rPr>
              <w:t xml:space="preserve">, Israel, </w:t>
            </w:r>
            <w:proofErr w:type="spellStart"/>
            <w:r w:rsidRPr="00B97121">
              <w:rPr>
                <w:rFonts w:asciiTheme="minorBidi" w:eastAsia="SimSun" w:hAnsiTheme="minorBidi"/>
                <w:sz w:val="20"/>
                <w:szCs w:val="20"/>
              </w:rPr>
              <w:t>Italy</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Jordan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Japan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Kazakhstan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Korea</w:t>
            </w:r>
            <w:proofErr w:type="spellEnd"/>
            <w:r w:rsidRPr="00B97121">
              <w:rPr>
                <w:rFonts w:asciiTheme="minorBidi" w:eastAsia="SimSun" w:hAnsiTheme="minorBidi"/>
                <w:sz w:val="20"/>
                <w:szCs w:val="20"/>
              </w:rPr>
              <w:t xml:space="preserve">, Rep., Lebanon, </w:t>
            </w:r>
            <w:proofErr w:type="spellStart"/>
            <w:r w:rsidRPr="00B97121">
              <w:rPr>
                <w:rFonts w:asciiTheme="minorBidi" w:eastAsia="SimSun" w:hAnsiTheme="minorBidi"/>
                <w:sz w:val="20"/>
                <w:szCs w:val="20"/>
              </w:rPr>
              <w:t>Lithuania</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Luxembourg</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Latvia</w:t>
            </w:r>
            <w:proofErr w:type="spellEnd"/>
            <w:r w:rsidRPr="00B97121">
              <w:rPr>
                <w:rFonts w:asciiTheme="minorBidi" w:eastAsia="SimSun" w:hAnsiTheme="minorBidi"/>
                <w:sz w:val="20"/>
                <w:szCs w:val="20"/>
              </w:rPr>
              <w:t xml:space="preserve">, Moldova, North </w:t>
            </w:r>
            <w:r w:rsidRPr="00B97121">
              <w:rPr>
                <w:rFonts w:asciiTheme="minorBidi" w:eastAsia="SimSun" w:hAnsiTheme="minorBidi"/>
                <w:sz w:val="20"/>
                <w:szCs w:val="20"/>
              </w:rPr>
              <w:lastRenderedPageBreak/>
              <w:t xml:space="preserve">Macedonia, Malta, Montenegro, Malaysia, </w:t>
            </w:r>
            <w:proofErr w:type="spellStart"/>
            <w:r w:rsidRPr="00B97121">
              <w:rPr>
                <w:rFonts w:asciiTheme="minorBidi" w:eastAsia="SimSun" w:hAnsiTheme="minorBidi"/>
                <w:sz w:val="20"/>
                <w:szCs w:val="20"/>
              </w:rPr>
              <w:t>Netherlands</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Norway</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Poland</w:t>
            </w:r>
            <w:proofErr w:type="spellEnd"/>
            <w:r w:rsidRPr="00B97121">
              <w:rPr>
                <w:rFonts w:asciiTheme="minorBidi" w:eastAsia="SimSun" w:hAnsiTheme="minorBidi"/>
                <w:sz w:val="20"/>
                <w:szCs w:val="20"/>
              </w:rPr>
              <w:t xml:space="preserve">, Portugal, </w:t>
            </w:r>
            <w:proofErr w:type="spellStart"/>
            <w:r w:rsidRPr="00B97121">
              <w:rPr>
                <w:rFonts w:asciiTheme="minorBidi" w:eastAsia="SimSun" w:hAnsiTheme="minorBidi"/>
                <w:sz w:val="20"/>
                <w:szCs w:val="20"/>
              </w:rPr>
              <w:t>Russian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Federation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Singapore</w:t>
            </w:r>
            <w:proofErr w:type="spellEnd"/>
            <w:r w:rsidRPr="00B97121">
              <w:rPr>
                <w:rFonts w:asciiTheme="minorBidi" w:eastAsia="SimSun" w:hAnsiTheme="minorBidi"/>
                <w:sz w:val="20"/>
                <w:szCs w:val="20"/>
              </w:rPr>
              <w:t xml:space="preserve">, Serbia, </w:t>
            </w:r>
            <w:proofErr w:type="spellStart"/>
            <w:r w:rsidRPr="00B97121">
              <w:rPr>
                <w:rFonts w:asciiTheme="minorBidi" w:eastAsia="SimSun" w:hAnsiTheme="minorBidi"/>
                <w:sz w:val="20"/>
                <w:szCs w:val="20"/>
              </w:rPr>
              <w:t>Slovak</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Republic</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Slovenia</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Sweden</w:t>
            </w:r>
            <w:proofErr w:type="spellEnd"/>
            <w:r w:rsidRPr="00B97121">
              <w:rPr>
                <w:rFonts w:asciiTheme="minorBidi" w:eastAsia="SimSun" w:hAnsiTheme="minorBidi"/>
                <w:sz w:val="20"/>
                <w:szCs w:val="20"/>
              </w:rPr>
              <w:t xml:space="preserve">, Trinidad and Tobago, Uruguay, </w:t>
            </w:r>
            <w:proofErr w:type="spellStart"/>
            <w:r w:rsidRPr="00B97121">
              <w:rPr>
                <w:rFonts w:asciiTheme="minorBidi" w:eastAsia="SimSun" w:hAnsiTheme="minorBidi"/>
                <w:sz w:val="20"/>
                <w:szCs w:val="20"/>
              </w:rPr>
              <w:t>United</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States</w:t>
            </w:r>
            <w:proofErr w:type="spellEnd"/>
            <w:r w:rsidRPr="00B97121">
              <w:rPr>
                <w:rFonts w:asciiTheme="minorBidi" w:eastAsia="SimSun" w:hAnsiTheme="minorBidi"/>
                <w:sz w:val="20"/>
                <w:szCs w:val="20"/>
              </w:rPr>
              <w:t>, Venezuela, RB</w:t>
            </w:r>
          </w:p>
        </w:tc>
        <w:tc>
          <w:tcPr>
            <w:tcW w:w="416" w:type="dxa"/>
            <w:gridSpan w:val="2"/>
          </w:tcPr>
          <w:p w14:paraId="60D0EE69"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lastRenderedPageBreak/>
              <w:t>55</w:t>
            </w:r>
          </w:p>
        </w:tc>
        <w:tc>
          <w:tcPr>
            <w:tcW w:w="4174" w:type="dxa"/>
            <w:gridSpan w:val="2"/>
          </w:tcPr>
          <w:p w14:paraId="4A5728AE"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 xml:space="preserve">Albania, Armenia, Bulgaria, Bosnia and Herzegovina, </w:t>
            </w:r>
            <w:proofErr w:type="spellStart"/>
            <w:r w:rsidRPr="00B97121">
              <w:rPr>
                <w:rFonts w:asciiTheme="minorBidi" w:eastAsia="SimSun" w:hAnsiTheme="minorBidi"/>
                <w:sz w:val="20"/>
                <w:szCs w:val="20"/>
              </w:rPr>
              <w:t>Brazil</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Bhutan</w:t>
            </w:r>
            <w:proofErr w:type="spellEnd"/>
            <w:r w:rsidRPr="00B97121">
              <w:rPr>
                <w:rFonts w:asciiTheme="minorBidi" w:eastAsia="SimSun" w:hAnsiTheme="minorBidi"/>
                <w:sz w:val="20"/>
                <w:szCs w:val="20"/>
              </w:rPr>
              <w:t xml:space="preserve">, China, Colombia, Cabo Verde, </w:t>
            </w:r>
            <w:proofErr w:type="spellStart"/>
            <w:r w:rsidRPr="00B97121">
              <w:rPr>
                <w:rFonts w:asciiTheme="minorBidi" w:eastAsia="SimSun" w:hAnsiTheme="minorBidi"/>
                <w:sz w:val="20"/>
                <w:szCs w:val="20"/>
              </w:rPr>
              <w:t>Algeria</w:t>
            </w:r>
            <w:proofErr w:type="spellEnd"/>
            <w:r w:rsidRPr="00B97121">
              <w:rPr>
                <w:rFonts w:asciiTheme="minorBidi" w:eastAsia="SimSun" w:hAnsiTheme="minorBidi"/>
                <w:sz w:val="20"/>
                <w:szCs w:val="20"/>
              </w:rPr>
              <w:t xml:space="preserve">, Ecuador, </w:t>
            </w:r>
            <w:proofErr w:type="spellStart"/>
            <w:r w:rsidRPr="00B97121">
              <w:rPr>
                <w:rFonts w:asciiTheme="minorBidi" w:eastAsia="SimSun" w:hAnsiTheme="minorBidi"/>
                <w:sz w:val="20"/>
                <w:szCs w:val="20"/>
              </w:rPr>
              <w:t>Egypt</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Arab</w:t>
            </w:r>
            <w:proofErr w:type="spellEnd"/>
            <w:r w:rsidRPr="00B97121">
              <w:rPr>
                <w:rFonts w:asciiTheme="minorBidi" w:eastAsia="SimSun" w:hAnsiTheme="minorBidi"/>
                <w:sz w:val="20"/>
                <w:szCs w:val="20"/>
              </w:rPr>
              <w:t xml:space="preserve"> Rep., </w:t>
            </w:r>
            <w:proofErr w:type="spellStart"/>
            <w:r w:rsidRPr="00B97121">
              <w:rPr>
                <w:rFonts w:asciiTheme="minorBidi" w:eastAsia="SimSun" w:hAnsiTheme="minorBidi"/>
                <w:sz w:val="20"/>
                <w:szCs w:val="20"/>
              </w:rPr>
              <w:t>Gabon</w:t>
            </w:r>
            <w:proofErr w:type="spellEnd"/>
            <w:r w:rsidRPr="00B97121">
              <w:rPr>
                <w:rFonts w:asciiTheme="minorBidi" w:eastAsia="SimSun" w:hAnsiTheme="minorBidi"/>
                <w:sz w:val="20"/>
                <w:szCs w:val="20"/>
              </w:rPr>
              <w:t xml:space="preserve">, Georgia, Indonesia, </w:t>
            </w:r>
            <w:proofErr w:type="spellStart"/>
            <w:r w:rsidRPr="00B97121">
              <w:rPr>
                <w:rFonts w:asciiTheme="minorBidi" w:eastAsia="SimSun" w:hAnsiTheme="minorBidi"/>
                <w:sz w:val="20"/>
                <w:szCs w:val="20"/>
              </w:rPr>
              <w:t>Iran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Islamic</w:t>
            </w:r>
            <w:proofErr w:type="spellEnd"/>
            <w:r w:rsidRPr="00B97121">
              <w:rPr>
                <w:rFonts w:asciiTheme="minorBidi" w:eastAsia="SimSun" w:hAnsiTheme="minorBidi"/>
                <w:sz w:val="20"/>
                <w:szCs w:val="20"/>
              </w:rPr>
              <w:t xml:space="preserve"> Rep., Iraq, Jamaica, </w:t>
            </w:r>
            <w:proofErr w:type="spellStart"/>
            <w:r w:rsidRPr="00B97121">
              <w:rPr>
                <w:rFonts w:asciiTheme="minorBidi" w:eastAsia="SimSun" w:hAnsiTheme="minorBidi"/>
                <w:sz w:val="20"/>
                <w:szCs w:val="20"/>
              </w:rPr>
              <w:t>Jordan</w:t>
            </w:r>
            <w:proofErr w:type="spellEnd"/>
            <w:r w:rsidRPr="00B97121">
              <w:rPr>
                <w:rFonts w:asciiTheme="minorBidi" w:eastAsia="SimSun" w:hAnsiTheme="minorBidi"/>
                <w:sz w:val="20"/>
                <w:szCs w:val="20"/>
              </w:rPr>
              <w:t xml:space="preserve">, Maldives, </w:t>
            </w:r>
            <w:proofErr w:type="spellStart"/>
            <w:r w:rsidRPr="00B97121">
              <w:rPr>
                <w:rFonts w:asciiTheme="minorBidi" w:eastAsia="SimSun" w:hAnsiTheme="minorBidi"/>
                <w:sz w:val="20"/>
                <w:szCs w:val="20"/>
              </w:rPr>
              <w:t>Mexico</w:t>
            </w:r>
            <w:proofErr w:type="spellEnd"/>
            <w:r w:rsidRPr="00B97121">
              <w:rPr>
                <w:rFonts w:asciiTheme="minorBidi" w:eastAsia="SimSun" w:hAnsiTheme="minorBidi"/>
                <w:sz w:val="20"/>
                <w:szCs w:val="20"/>
              </w:rPr>
              <w:t xml:space="preserve">, Mongolia, </w:t>
            </w:r>
            <w:proofErr w:type="spellStart"/>
            <w:r w:rsidRPr="00B97121">
              <w:rPr>
                <w:rFonts w:asciiTheme="minorBidi" w:eastAsia="SimSun" w:hAnsiTheme="minorBidi"/>
                <w:sz w:val="20"/>
                <w:szCs w:val="20"/>
              </w:rPr>
              <w:t>Mauritius</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Panama</w:t>
            </w:r>
            <w:proofErr w:type="spellEnd"/>
            <w:r w:rsidRPr="00B97121">
              <w:rPr>
                <w:rFonts w:asciiTheme="minorBidi" w:eastAsia="SimSun" w:hAnsiTheme="minorBidi"/>
                <w:sz w:val="20"/>
                <w:szCs w:val="20"/>
              </w:rPr>
              <w:t xml:space="preserve">, Paraguay, </w:t>
            </w:r>
            <w:proofErr w:type="spellStart"/>
            <w:r w:rsidRPr="00B97121">
              <w:rPr>
                <w:rFonts w:asciiTheme="minorBidi" w:eastAsia="SimSun" w:hAnsiTheme="minorBidi"/>
                <w:sz w:val="20"/>
                <w:szCs w:val="20"/>
              </w:rPr>
              <w:t>Tunisia</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Uzbekistan</w:t>
            </w:r>
            <w:proofErr w:type="spellEnd"/>
            <w:r w:rsidRPr="00B97121">
              <w:rPr>
                <w:rFonts w:asciiTheme="minorBidi" w:eastAsia="SimSun" w:hAnsiTheme="minorBidi"/>
                <w:sz w:val="20"/>
                <w:szCs w:val="20"/>
              </w:rPr>
              <w:t>, Vietnam</w:t>
            </w:r>
          </w:p>
        </w:tc>
        <w:tc>
          <w:tcPr>
            <w:tcW w:w="483" w:type="dxa"/>
            <w:gridSpan w:val="2"/>
          </w:tcPr>
          <w:p w14:paraId="0CC082B1"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29</w:t>
            </w:r>
          </w:p>
        </w:tc>
      </w:tr>
      <w:tr w:rsidR="0032057E" w:rsidRPr="00B97121" w14:paraId="5F59B1C2" w14:textId="77777777" w:rsidTr="00B22C87">
        <w:trPr>
          <w:gridAfter w:val="1"/>
          <w:wAfter w:w="10" w:type="dxa"/>
          <w:jc w:val="center"/>
        </w:trPr>
        <w:tc>
          <w:tcPr>
            <w:tcW w:w="9349" w:type="dxa"/>
            <w:gridSpan w:val="7"/>
          </w:tcPr>
          <w:p w14:paraId="6B1D552E" w14:textId="77777777" w:rsidR="0032057E" w:rsidRPr="00B97121" w:rsidRDefault="0032057E" w:rsidP="00B22C87">
            <w:pPr>
              <w:tabs>
                <w:tab w:val="left" w:pos="426"/>
                <w:tab w:val="left" w:pos="567"/>
              </w:tabs>
              <w:spacing w:line="360" w:lineRule="auto"/>
              <w:rPr>
                <w:rFonts w:asciiTheme="minorBidi" w:eastAsia="SimSun" w:hAnsiTheme="minorBidi"/>
                <w:b/>
                <w:sz w:val="20"/>
                <w:szCs w:val="20"/>
                <w:lang w:val="ru-RU"/>
              </w:rPr>
            </w:pPr>
            <w:r w:rsidRPr="00B97121">
              <w:rPr>
                <w:rFonts w:asciiTheme="minorBidi" w:eastAsia="SimSun" w:hAnsiTheme="minorBidi"/>
                <w:b/>
                <w:sz w:val="20"/>
                <w:szCs w:val="20"/>
                <w:lang w:val="ru-RU"/>
              </w:rPr>
              <w:t>2 cluster</w:t>
            </w:r>
          </w:p>
        </w:tc>
      </w:tr>
      <w:tr w:rsidR="0032057E" w:rsidRPr="00B97121" w14:paraId="79A9678A" w14:textId="77777777" w:rsidTr="00B22C87">
        <w:trPr>
          <w:jc w:val="center"/>
        </w:trPr>
        <w:tc>
          <w:tcPr>
            <w:tcW w:w="4286" w:type="dxa"/>
            <w:gridSpan w:val="2"/>
          </w:tcPr>
          <w:p w14:paraId="0F05369F"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 xml:space="preserve">Armenia, Bulgaria, Bosnia and Herzegovina, </w:t>
            </w:r>
            <w:proofErr w:type="spellStart"/>
            <w:r w:rsidRPr="00B97121">
              <w:rPr>
                <w:rFonts w:asciiTheme="minorBidi" w:eastAsia="SimSun" w:hAnsiTheme="minorBidi"/>
                <w:sz w:val="20"/>
                <w:szCs w:val="20"/>
              </w:rPr>
              <w:t>Belize</w:t>
            </w:r>
            <w:proofErr w:type="spellEnd"/>
            <w:r w:rsidRPr="00B97121">
              <w:rPr>
                <w:rFonts w:asciiTheme="minorBidi" w:eastAsia="SimSun" w:hAnsiTheme="minorBidi"/>
                <w:sz w:val="20"/>
                <w:szCs w:val="20"/>
              </w:rPr>
              <w:t xml:space="preserve">, Bolivia, </w:t>
            </w:r>
            <w:proofErr w:type="spellStart"/>
            <w:r w:rsidRPr="00B97121">
              <w:rPr>
                <w:rFonts w:asciiTheme="minorBidi" w:eastAsia="SimSun" w:hAnsiTheme="minorBidi"/>
                <w:sz w:val="20"/>
                <w:szCs w:val="20"/>
              </w:rPr>
              <w:t>Brazil</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Bhutan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Botswana</w:t>
            </w:r>
            <w:proofErr w:type="spellEnd"/>
            <w:r w:rsidRPr="00B97121">
              <w:rPr>
                <w:rFonts w:asciiTheme="minorBidi" w:eastAsia="SimSun" w:hAnsiTheme="minorBidi"/>
                <w:sz w:val="20"/>
                <w:szCs w:val="20"/>
              </w:rPr>
              <w:t xml:space="preserve">, China, Colombia, Cabo Verde, </w:t>
            </w:r>
            <w:proofErr w:type="spellStart"/>
            <w:r w:rsidRPr="00B97121">
              <w:rPr>
                <w:rFonts w:asciiTheme="minorBidi" w:eastAsia="SimSun" w:hAnsiTheme="minorBidi"/>
                <w:sz w:val="20"/>
                <w:szCs w:val="20"/>
              </w:rPr>
              <w:t>Dominican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Republic</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Algeria</w:t>
            </w:r>
            <w:proofErr w:type="spellEnd"/>
            <w:r w:rsidRPr="00B97121">
              <w:rPr>
                <w:rFonts w:asciiTheme="minorBidi" w:eastAsia="SimSun" w:hAnsiTheme="minorBidi"/>
                <w:sz w:val="20"/>
                <w:szCs w:val="20"/>
              </w:rPr>
              <w:t xml:space="preserve">, Ecuador, </w:t>
            </w:r>
            <w:proofErr w:type="spellStart"/>
            <w:r w:rsidRPr="00B97121">
              <w:rPr>
                <w:rFonts w:asciiTheme="minorBidi" w:eastAsia="SimSun" w:hAnsiTheme="minorBidi"/>
                <w:sz w:val="20"/>
                <w:szCs w:val="20"/>
              </w:rPr>
              <w:t>Egypt</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Arab</w:t>
            </w:r>
            <w:proofErr w:type="spellEnd"/>
            <w:r w:rsidRPr="00B97121">
              <w:rPr>
                <w:rFonts w:asciiTheme="minorBidi" w:eastAsia="SimSun" w:hAnsiTheme="minorBidi"/>
                <w:sz w:val="20"/>
                <w:szCs w:val="20"/>
              </w:rPr>
              <w:t xml:space="preserve"> Rep., </w:t>
            </w:r>
            <w:proofErr w:type="spellStart"/>
            <w:r w:rsidRPr="00B97121">
              <w:rPr>
                <w:rFonts w:asciiTheme="minorBidi" w:eastAsia="SimSun" w:hAnsiTheme="minorBidi"/>
                <w:sz w:val="20"/>
                <w:szCs w:val="20"/>
              </w:rPr>
              <w:t>Gabon</w:t>
            </w:r>
            <w:proofErr w:type="spellEnd"/>
            <w:r w:rsidRPr="00B97121">
              <w:rPr>
                <w:rFonts w:asciiTheme="minorBidi" w:eastAsia="SimSun" w:hAnsiTheme="minorBidi"/>
                <w:sz w:val="20"/>
                <w:szCs w:val="20"/>
              </w:rPr>
              <w:t xml:space="preserve">, Georgia, </w:t>
            </w:r>
            <w:proofErr w:type="spellStart"/>
            <w:r w:rsidRPr="00B97121">
              <w:rPr>
                <w:rFonts w:asciiTheme="minorBidi" w:eastAsia="SimSun" w:hAnsiTheme="minorBidi"/>
                <w:sz w:val="20"/>
                <w:szCs w:val="20"/>
              </w:rPr>
              <w:t>Iran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Islamic</w:t>
            </w:r>
            <w:proofErr w:type="spellEnd"/>
            <w:r w:rsidRPr="00B97121">
              <w:rPr>
                <w:rFonts w:asciiTheme="minorBidi" w:eastAsia="SimSun" w:hAnsiTheme="minorBidi"/>
                <w:sz w:val="20"/>
                <w:szCs w:val="20"/>
              </w:rPr>
              <w:t xml:space="preserve"> Rep., Iraq, Jamaica, </w:t>
            </w:r>
            <w:proofErr w:type="spellStart"/>
            <w:r w:rsidRPr="00B97121">
              <w:rPr>
                <w:rFonts w:asciiTheme="minorBidi" w:eastAsia="SimSun" w:hAnsiTheme="minorBidi"/>
                <w:sz w:val="20"/>
                <w:szCs w:val="20"/>
              </w:rPr>
              <w:t>Kyrgyz</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Republic</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Morocco</w:t>
            </w:r>
            <w:proofErr w:type="spellEnd"/>
            <w:r w:rsidRPr="00B97121">
              <w:rPr>
                <w:rFonts w:asciiTheme="minorBidi" w:eastAsia="SimSun" w:hAnsiTheme="minorBidi"/>
                <w:sz w:val="20"/>
                <w:szCs w:val="20"/>
              </w:rPr>
              <w:t xml:space="preserve">, Maldives, </w:t>
            </w:r>
            <w:proofErr w:type="spellStart"/>
            <w:r w:rsidRPr="00B97121">
              <w:rPr>
                <w:rFonts w:asciiTheme="minorBidi" w:eastAsia="SimSun" w:hAnsiTheme="minorBidi"/>
                <w:sz w:val="20"/>
                <w:szCs w:val="20"/>
              </w:rPr>
              <w:t>Mexico</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Mauritius</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Panama</w:t>
            </w:r>
            <w:proofErr w:type="spellEnd"/>
            <w:r w:rsidRPr="00B97121">
              <w:rPr>
                <w:rFonts w:asciiTheme="minorBidi" w:eastAsia="SimSun" w:hAnsiTheme="minorBidi"/>
                <w:sz w:val="20"/>
                <w:szCs w:val="20"/>
              </w:rPr>
              <w:t xml:space="preserve">, Paraguay, Romania, </w:t>
            </w:r>
            <w:proofErr w:type="spellStart"/>
            <w:r w:rsidRPr="00B97121">
              <w:rPr>
                <w:rFonts w:asciiTheme="minorBidi" w:eastAsia="SimSun" w:hAnsiTheme="minorBidi"/>
                <w:sz w:val="20"/>
                <w:szCs w:val="20"/>
              </w:rPr>
              <w:t>Suriname</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Thailand</w:t>
            </w:r>
            <w:proofErr w:type="spellEnd"/>
            <w:r w:rsidRPr="00B97121">
              <w:rPr>
                <w:rFonts w:asciiTheme="minorBidi" w:eastAsia="SimSun" w:hAnsiTheme="minorBidi"/>
                <w:sz w:val="20"/>
                <w:szCs w:val="20"/>
              </w:rPr>
              <w:t xml:space="preserve">, Tonga, </w:t>
            </w:r>
            <w:proofErr w:type="spellStart"/>
            <w:r w:rsidRPr="00B97121">
              <w:rPr>
                <w:rFonts w:asciiTheme="minorBidi" w:eastAsia="SimSun" w:hAnsiTheme="minorBidi"/>
                <w:sz w:val="20"/>
                <w:szCs w:val="20"/>
              </w:rPr>
              <w:t>Tunisia</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Turkey</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Uzbekistan</w:t>
            </w:r>
            <w:proofErr w:type="spellEnd"/>
            <w:r w:rsidRPr="00B97121">
              <w:rPr>
                <w:rFonts w:asciiTheme="minorBidi" w:eastAsia="SimSun" w:hAnsiTheme="minorBidi"/>
                <w:sz w:val="20"/>
                <w:szCs w:val="20"/>
              </w:rPr>
              <w:t xml:space="preserve">, Vietnam, South </w:t>
            </w:r>
            <w:proofErr w:type="spellStart"/>
            <w:r w:rsidRPr="00B97121">
              <w:rPr>
                <w:rFonts w:asciiTheme="minorBidi" w:eastAsia="SimSun" w:hAnsiTheme="minorBidi"/>
                <w:sz w:val="20"/>
                <w:szCs w:val="20"/>
              </w:rPr>
              <w:t>Africa</w:t>
            </w:r>
            <w:proofErr w:type="spellEnd"/>
          </w:p>
        </w:tc>
        <w:tc>
          <w:tcPr>
            <w:tcW w:w="416" w:type="dxa"/>
            <w:gridSpan w:val="2"/>
          </w:tcPr>
          <w:p w14:paraId="560D2EC1"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36</w:t>
            </w:r>
          </w:p>
        </w:tc>
        <w:tc>
          <w:tcPr>
            <w:tcW w:w="4174" w:type="dxa"/>
            <w:gridSpan w:val="2"/>
          </w:tcPr>
          <w:p w14:paraId="52C77668" w14:textId="77777777" w:rsidR="0032057E" w:rsidRPr="0032057E" w:rsidRDefault="0032057E" w:rsidP="00B22C87">
            <w:pPr>
              <w:tabs>
                <w:tab w:val="left" w:pos="426"/>
                <w:tab w:val="left" w:pos="567"/>
              </w:tabs>
              <w:spacing w:line="360" w:lineRule="auto"/>
              <w:rPr>
                <w:rFonts w:asciiTheme="minorBidi" w:eastAsia="SimSun" w:hAnsiTheme="minorBidi"/>
                <w:sz w:val="20"/>
                <w:szCs w:val="20"/>
                <w:lang w:val="en-US"/>
              </w:rPr>
            </w:pPr>
            <w:r w:rsidRPr="0032057E">
              <w:rPr>
                <w:rFonts w:asciiTheme="minorBidi" w:eastAsia="SimSun" w:hAnsiTheme="minorBidi"/>
                <w:sz w:val="20"/>
                <w:szCs w:val="20"/>
                <w:lang w:val="en-US"/>
              </w:rPr>
              <w:t>United Arab Emirates, Australia, Austria, Azerbaijan, Belgium, Belarus, Barbados, Canada, Switzerland, Chile, Costa Rica, Cyprus, Czech Republic, Germany, Denmark, Dominican Republic, Spain, Estonia, Finland, France, United Kingdom, Greece, Croatia, Hungary, Ireland, Israel, Italy, Japan, Kazakhstan, Korea, Rep., Lebanon, Lithuania, Luxembourg, Latvia, Morocco, Moldova, North Macedonia, Malta, Montenegro, Malaysia, Netherlands, Norway, Poland, Portugal, Romania, Russian Federation, Singapore, Serbia, Slovak Republic, Slovenia, Sweden, Trinidad and Tobago, Turkey, Uruguay, United States</w:t>
            </w:r>
          </w:p>
        </w:tc>
        <w:tc>
          <w:tcPr>
            <w:tcW w:w="483" w:type="dxa"/>
            <w:gridSpan w:val="2"/>
          </w:tcPr>
          <w:p w14:paraId="49165AE2"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56</w:t>
            </w:r>
          </w:p>
        </w:tc>
      </w:tr>
      <w:tr w:rsidR="0032057E" w:rsidRPr="00B97121" w14:paraId="66116BBE" w14:textId="77777777" w:rsidTr="00B22C87">
        <w:trPr>
          <w:gridAfter w:val="1"/>
          <w:wAfter w:w="10" w:type="dxa"/>
          <w:jc w:val="center"/>
        </w:trPr>
        <w:tc>
          <w:tcPr>
            <w:tcW w:w="9349" w:type="dxa"/>
            <w:gridSpan w:val="7"/>
          </w:tcPr>
          <w:p w14:paraId="72F6185C" w14:textId="77777777" w:rsidR="0032057E" w:rsidRPr="00B97121" w:rsidRDefault="0032057E" w:rsidP="00B22C87">
            <w:pPr>
              <w:tabs>
                <w:tab w:val="left" w:pos="426"/>
                <w:tab w:val="left" w:pos="567"/>
              </w:tabs>
              <w:spacing w:line="360" w:lineRule="auto"/>
              <w:rPr>
                <w:rFonts w:asciiTheme="minorBidi" w:eastAsia="SimSun" w:hAnsiTheme="minorBidi"/>
                <w:b/>
                <w:sz w:val="20"/>
                <w:szCs w:val="20"/>
                <w:lang w:val="ru-RU"/>
              </w:rPr>
            </w:pPr>
            <w:r w:rsidRPr="00B97121">
              <w:rPr>
                <w:rFonts w:asciiTheme="minorBidi" w:eastAsia="SimSun" w:hAnsiTheme="minorBidi"/>
                <w:b/>
                <w:sz w:val="20"/>
                <w:szCs w:val="20"/>
                <w:lang w:val="ru-RU"/>
              </w:rPr>
              <w:t>3 cluster</w:t>
            </w:r>
          </w:p>
        </w:tc>
      </w:tr>
      <w:tr w:rsidR="0032057E" w:rsidRPr="00B97121" w14:paraId="6381DCB0" w14:textId="77777777" w:rsidTr="00B22C87">
        <w:trPr>
          <w:gridAfter w:val="1"/>
          <w:wAfter w:w="10" w:type="dxa"/>
          <w:jc w:val="center"/>
        </w:trPr>
        <w:tc>
          <w:tcPr>
            <w:tcW w:w="4251" w:type="dxa"/>
          </w:tcPr>
          <w:p w14:paraId="455F4EA3"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 xml:space="preserve">Bangladesh, Cote </w:t>
            </w:r>
            <w:proofErr w:type="spellStart"/>
            <w:r w:rsidRPr="00B97121">
              <w:rPr>
                <w:rFonts w:asciiTheme="minorBidi" w:eastAsia="SimSun" w:hAnsiTheme="minorBidi"/>
                <w:sz w:val="20"/>
                <w:szCs w:val="20"/>
              </w:rPr>
              <w:t>d'Ivoire</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Cameroon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Comoros</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Djibouti</w:t>
            </w:r>
            <w:proofErr w:type="spellEnd"/>
            <w:r w:rsidRPr="00B97121">
              <w:rPr>
                <w:rFonts w:asciiTheme="minorBidi" w:eastAsia="SimSun" w:hAnsiTheme="minorBidi"/>
                <w:sz w:val="20"/>
                <w:szCs w:val="20"/>
              </w:rPr>
              <w:t xml:space="preserve">, Ghana, Guinea, Honduras, </w:t>
            </w:r>
            <w:proofErr w:type="spellStart"/>
            <w:r w:rsidRPr="00B97121">
              <w:rPr>
                <w:rFonts w:asciiTheme="minorBidi" w:eastAsia="SimSun" w:hAnsiTheme="minorBidi"/>
                <w:sz w:val="20"/>
                <w:szCs w:val="20"/>
              </w:rPr>
              <w:t>Haiti</w:t>
            </w:r>
            <w:proofErr w:type="spellEnd"/>
            <w:r w:rsidRPr="00B97121">
              <w:rPr>
                <w:rFonts w:asciiTheme="minorBidi" w:eastAsia="SimSun" w:hAnsiTheme="minorBidi"/>
                <w:sz w:val="20"/>
                <w:szCs w:val="20"/>
              </w:rPr>
              <w:t xml:space="preserve">, Indonesia, India, </w:t>
            </w:r>
            <w:proofErr w:type="spellStart"/>
            <w:r w:rsidRPr="00B97121">
              <w:rPr>
                <w:rFonts w:asciiTheme="minorBidi" w:eastAsia="SimSun" w:hAnsiTheme="minorBidi"/>
                <w:sz w:val="20"/>
                <w:szCs w:val="20"/>
              </w:rPr>
              <w:t>Kenya</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Cambodia</w:t>
            </w:r>
            <w:proofErr w:type="spellEnd"/>
            <w:r w:rsidRPr="00B97121">
              <w:rPr>
                <w:rFonts w:asciiTheme="minorBidi" w:eastAsia="SimSun" w:hAnsiTheme="minorBidi"/>
                <w:sz w:val="20"/>
                <w:szCs w:val="20"/>
              </w:rPr>
              <w:t xml:space="preserve">, Lao PDR, Sri Lanka, </w:t>
            </w:r>
            <w:proofErr w:type="spellStart"/>
            <w:r w:rsidRPr="00B97121">
              <w:rPr>
                <w:rFonts w:asciiTheme="minorBidi" w:eastAsia="SimSun" w:hAnsiTheme="minorBidi"/>
                <w:sz w:val="20"/>
                <w:szCs w:val="20"/>
              </w:rPr>
              <w:t>Lesotho</w:t>
            </w:r>
            <w:proofErr w:type="spellEnd"/>
            <w:r w:rsidRPr="00B97121">
              <w:rPr>
                <w:rFonts w:asciiTheme="minorBidi" w:eastAsia="SimSun" w:hAnsiTheme="minorBidi"/>
                <w:sz w:val="20"/>
                <w:szCs w:val="20"/>
              </w:rPr>
              <w:t xml:space="preserve">, Mongolia, Mauritania, Namibia, Nigeria, Nicaragua, </w:t>
            </w:r>
            <w:proofErr w:type="spellStart"/>
            <w:r w:rsidRPr="00B97121">
              <w:rPr>
                <w:rFonts w:asciiTheme="minorBidi" w:eastAsia="SimSun" w:hAnsiTheme="minorBidi"/>
                <w:sz w:val="20"/>
                <w:szCs w:val="20"/>
              </w:rPr>
              <w:t>Pakistan</w:t>
            </w:r>
            <w:proofErr w:type="spellEnd"/>
            <w:r w:rsidRPr="00B97121">
              <w:rPr>
                <w:rFonts w:asciiTheme="minorBidi" w:eastAsia="SimSun" w:hAnsiTheme="minorBidi"/>
                <w:sz w:val="20"/>
                <w:szCs w:val="20"/>
              </w:rPr>
              <w:t xml:space="preserve">, Sudan, Senegal, Solomon </w:t>
            </w:r>
            <w:proofErr w:type="spellStart"/>
            <w:r w:rsidRPr="00B97121">
              <w:rPr>
                <w:rFonts w:asciiTheme="minorBidi" w:eastAsia="SimSun" w:hAnsiTheme="minorBidi"/>
                <w:sz w:val="20"/>
                <w:szCs w:val="20"/>
              </w:rPr>
              <w:t>Islands</w:t>
            </w:r>
            <w:proofErr w:type="spellEnd"/>
            <w:r w:rsidRPr="00B97121">
              <w:rPr>
                <w:rFonts w:asciiTheme="minorBidi" w:eastAsia="SimSun" w:hAnsiTheme="minorBidi"/>
                <w:sz w:val="20"/>
                <w:szCs w:val="20"/>
              </w:rPr>
              <w:t xml:space="preserve">, Chad, Timor-Leste, Vanuatu, Sao Tome and </w:t>
            </w:r>
            <w:proofErr w:type="spellStart"/>
            <w:r w:rsidRPr="00B97121">
              <w:rPr>
                <w:rFonts w:asciiTheme="minorBidi" w:eastAsia="SimSun" w:hAnsiTheme="minorBidi"/>
                <w:sz w:val="20"/>
                <w:szCs w:val="20"/>
              </w:rPr>
              <w:t>Principe</w:t>
            </w:r>
            <w:proofErr w:type="spellEnd"/>
          </w:p>
        </w:tc>
        <w:tc>
          <w:tcPr>
            <w:tcW w:w="441" w:type="dxa"/>
            <w:gridSpan w:val="2"/>
          </w:tcPr>
          <w:p w14:paraId="74588B4B"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29</w:t>
            </w:r>
          </w:p>
        </w:tc>
        <w:tc>
          <w:tcPr>
            <w:tcW w:w="4174" w:type="dxa"/>
            <w:gridSpan w:val="2"/>
          </w:tcPr>
          <w:p w14:paraId="03E4B269"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 xml:space="preserve">Bangladesh, </w:t>
            </w:r>
            <w:proofErr w:type="spellStart"/>
            <w:r w:rsidRPr="00B97121">
              <w:rPr>
                <w:rFonts w:asciiTheme="minorBidi" w:eastAsia="SimSun" w:hAnsiTheme="minorBidi"/>
                <w:sz w:val="20"/>
                <w:szCs w:val="20"/>
              </w:rPr>
              <w:t>Belize</w:t>
            </w:r>
            <w:proofErr w:type="spellEnd"/>
            <w:r w:rsidRPr="00B97121">
              <w:rPr>
                <w:rFonts w:asciiTheme="minorBidi" w:eastAsia="SimSun" w:hAnsiTheme="minorBidi"/>
                <w:sz w:val="20"/>
                <w:szCs w:val="20"/>
              </w:rPr>
              <w:t xml:space="preserve">, Bolivia, </w:t>
            </w:r>
            <w:proofErr w:type="spellStart"/>
            <w:r w:rsidRPr="00B97121">
              <w:rPr>
                <w:rFonts w:asciiTheme="minorBidi" w:eastAsia="SimSun" w:hAnsiTheme="minorBidi"/>
                <w:sz w:val="20"/>
                <w:szCs w:val="20"/>
              </w:rPr>
              <w:t>Botswana</w:t>
            </w:r>
            <w:proofErr w:type="spellEnd"/>
            <w:r w:rsidRPr="00B97121">
              <w:rPr>
                <w:rFonts w:asciiTheme="minorBidi" w:eastAsia="SimSun" w:hAnsiTheme="minorBidi"/>
                <w:sz w:val="20"/>
                <w:szCs w:val="20"/>
              </w:rPr>
              <w:t xml:space="preserve">, Cote </w:t>
            </w:r>
            <w:proofErr w:type="spellStart"/>
            <w:r w:rsidRPr="00B97121">
              <w:rPr>
                <w:rFonts w:asciiTheme="minorBidi" w:eastAsia="SimSun" w:hAnsiTheme="minorBidi"/>
                <w:sz w:val="20"/>
                <w:szCs w:val="20"/>
              </w:rPr>
              <w:t>d'Ivoire</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Cameroon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Comoros</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Djibouti</w:t>
            </w:r>
            <w:proofErr w:type="spellEnd"/>
            <w:r w:rsidRPr="00B97121">
              <w:rPr>
                <w:rFonts w:asciiTheme="minorBidi" w:eastAsia="SimSun" w:hAnsiTheme="minorBidi"/>
                <w:sz w:val="20"/>
                <w:szCs w:val="20"/>
              </w:rPr>
              <w:t xml:space="preserve">, Ghana, Guinea, Honduras, </w:t>
            </w:r>
            <w:proofErr w:type="spellStart"/>
            <w:r w:rsidRPr="00B97121">
              <w:rPr>
                <w:rFonts w:asciiTheme="minorBidi" w:eastAsia="SimSun" w:hAnsiTheme="minorBidi"/>
                <w:sz w:val="20"/>
                <w:szCs w:val="20"/>
              </w:rPr>
              <w:t>Haiti</w:t>
            </w:r>
            <w:proofErr w:type="spellEnd"/>
            <w:r w:rsidRPr="00B97121">
              <w:rPr>
                <w:rFonts w:asciiTheme="minorBidi" w:eastAsia="SimSun" w:hAnsiTheme="minorBidi"/>
                <w:sz w:val="20"/>
                <w:szCs w:val="20"/>
              </w:rPr>
              <w:t xml:space="preserve">, India, </w:t>
            </w:r>
            <w:proofErr w:type="spellStart"/>
            <w:r w:rsidRPr="00B97121">
              <w:rPr>
                <w:rFonts w:asciiTheme="minorBidi" w:eastAsia="SimSun" w:hAnsiTheme="minorBidi"/>
                <w:sz w:val="20"/>
                <w:szCs w:val="20"/>
              </w:rPr>
              <w:t>Kenya</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Kyrgyz</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Republic</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Cambodia</w:t>
            </w:r>
            <w:proofErr w:type="spellEnd"/>
            <w:r w:rsidRPr="00B97121">
              <w:rPr>
                <w:rFonts w:asciiTheme="minorBidi" w:eastAsia="SimSun" w:hAnsiTheme="minorBidi"/>
                <w:sz w:val="20"/>
                <w:szCs w:val="20"/>
              </w:rPr>
              <w:t xml:space="preserve">, Lao PDR, Sri Lanka, </w:t>
            </w:r>
            <w:proofErr w:type="spellStart"/>
            <w:r w:rsidRPr="00B97121">
              <w:rPr>
                <w:rFonts w:asciiTheme="minorBidi" w:eastAsia="SimSun" w:hAnsiTheme="minorBidi"/>
                <w:sz w:val="20"/>
                <w:szCs w:val="20"/>
              </w:rPr>
              <w:t>Lesotho</w:t>
            </w:r>
            <w:proofErr w:type="spellEnd"/>
            <w:r w:rsidRPr="00B97121">
              <w:rPr>
                <w:rFonts w:asciiTheme="minorBidi" w:eastAsia="SimSun" w:hAnsiTheme="minorBidi"/>
                <w:sz w:val="20"/>
                <w:szCs w:val="20"/>
              </w:rPr>
              <w:t xml:space="preserve">, Mauritania, Namibia, Nigeria, Nicaragua, </w:t>
            </w:r>
            <w:proofErr w:type="spellStart"/>
            <w:r w:rsidRPr="00B97121">
              <w:rPr>
                <w:rFonts w:asciiTheme="minorBidi" w:eastAsia="SimSun" w:hAnsiTheme="minorBidi"/>
                <w:sz w:val="20"/>
                <w:szCs w:val="20"/>
              </w:rPr>
              <w:t>Pakistan</w:t>
            </w:r>
            <w:proofErr w:type="spellEnd"/>
            <w:r w:rsidRPr="00B97121">
              <w:rPr>
                <w:rFonts w:asciiTheme="minorBidi" w:eastAsia="SimSun" w:hAnsiTheme="minorBidi"/>
                <w:sz w:val="20"/>
                <w:szCs w:val="20"/>
              </w:rPr>
              <w:t xml:space="preserve">, Sudan, Solomon </w:t>
            </w:r>
            <w:proofErr w:type="spellStart"/>
            <w:r w:rsidRPr="00B97121">
              <w:rPr>
                <w:rFonts w:asciiTheme="minorBidi" w:eastAsia="SimSun" w:hAnsiTheme="minorBidi"/>
                <w:sz w:val="20"/>
                <w:szCs w:val="20"/>
              </w:rPr>
              <w:t>Islands</w:t>
            </w:r>
            <w:proofErr w:type="spellEnd"/>
            <w:r w:rsidRPr="00B97121">
              <w:rPr>
                <w:rFonts w:asciiTheme="minorBidi" w:eastAsia="SimSun" w:hAnsiTheme="minorBidi"/>
                <w:sz w:val="20"/>
                <w:szCs w:val="20"/>
              </w:rPr>
              <w:t xml:space="preserve">, Sao Tome and </w:t>
            </w:r>
            <w:proofErr w:type="spellStart"/>
            <w:r w:rsidRPr="00B97121">
              <w:rPr>
                <w:rFonts w:asciiTheme="minorBidi" w:eastAsia="SimSun" w:hAnsiTheme="minorBidi"/>
                <w:sz w:val="20"/>
                <w:szCs w:val="20"/>
              </w:rPr>
              <w:t>Principe</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Suriname</w:t>
            </w:r>
            <w:proofErr w:type="spellEnd"/>
            <w:r w:rsidRPr="00B97121">
              <w:rPr>
                <w:rFonts w:asciiTheme="minorBidi" w:eastAsia="SimSun" w:hAnsiTheme="minorBidi"/>
                <w:sz w:val="20"/>
                <w:szCs w:val="20"/>
              </w:rPr>
              <w:t xml:space="preserve">, Timor-Leste, Tonga, Venezuela, RB, South </w:t>
            </w:r>
            <w:proofErr w:type="spellStart"/>
            <w:r w:rsidRPr="00B97121">
              <w:rPr>
                <w:rFonts w:asciiTheme="minorBidi" w:eastAsia="SimSun" w:hAnsiTheme="minorBidi"/>
                <w:sz w:val="20"/>
                <w:szCs w:val="20"/>
              </w:rPr>
              <w:t>Africa</w:t>
            </w:r>
            <w:proofErr w:type="spellEnd"/>
            <w:r w:rsidRPr="00B97121">
              <w:rPr>
                <w:rFonts w:asciiTheme="minorBidi" w:eastAsia="SimSun" w:hAnsiTheme="minorBidi"/>
                <w:sz w:val="20"/>
                <w:szCs w:val="20"/>
              </w:rPr>
              <w:t>, Vanuatu</w:t>
            </w:r>
          </w:p>
        </w:tc>
        <w:tc>
          <w:tcPr>
            <w:tcW w:w="483" w:type="dxa"/>
            <w:gridSpan w:val="2"/>
          </w:tcPr>
          <w:p w14:paraId="779D2ADA"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34</w:t>
            </w:r>
          </w:p>
        </w:tc>
      </w:tr>
      <w:tr w:rsidR="0032057E" w:rsidRPr="00B97121" w14:paraId="70E00257" w14:textId="77777777" w:rsidTr="00B22C87">
        <w:trPr>
          <w:gridAfter w:val="1"/>
          <w:wAfter w:w="10" w:type="dxa"/>
          <w:jc w:val="center"/>
        </w:trPr>
        <w:tc>
          <w:tcPr>
            <w:tcW w:w="9349" w:type="dxa"/>
            <w:gridSpan w:val="7"/>
          </w:tcPr>
          <w:p w14:paraId="07FC3092" w14:textId="77777777" w:rsidR="0032057E" w:rsidRPr="00B97121" w:rsidRDefault="0032057E" w:rsidP="00B22C87">
            <w:pPr>
              <w:tabs>
                <w:tab w:val="left" w:pos="426"/>
                <w:tab w:val="left" w:pos="567"/>
              </w:tabs>
              <w:spacing w:line="360" w:lineRule="auto"/>
              <w:rPr>
                <w:rFonts w:asciiTheme="minorBidi" w:eastAsia="SimSun" w:hAnsiTheme="minorBidi"/>
                <w:b/>
                <w:sz w:val="20"/>
                <w:szCs w:val="20"/>
                <w:lang w:val="ru-RU"/>
              </w:rPr>
            </w:pPr>
            <w:r w:rsidRPr="00B97121">
              <w:rPr>
                <w:rFonts w:asciiTheme="minorBidi" w:eastAsia="SimSun" w:hAnsiTheme="minorBidi"/>
                <w:b/>
                <w:sz w:val="20"/>
                <w:szCs w:val="20"/>
                <w:lang w:val="ru-RU"/>
              </w:rPr>
              <w:t>4 cluster</w:t>
            </w:r>
          </w:p>
        </w:tc>
      </w:tr>
      <w:tr w:rsidR="0032057E" w:rsidRPr="00B97121" w14:paraId="457FCF20" w14:textId="77777777" w:rsidTr="00B22C87">
        <w:trPr>
          <w:gridAfter w:val="1"/>
          <w:wAfter w:w="10" w:type="dxa"/>
          <w:jc w:val="center"/>
        </w:trPr>
        <w:tc>
          <w:tcPr>
            <w:tcW w:w="4251" w:type="dxa"/>
          </w:tcPr>
          <w:p w14:paraId="5CC6B160" w14:textId="77777777" w:rsidR="0032057E" w:rsidRPr="00B97121" w:rsidRDefault="0032057E" w:rsidP="00B22C87">
            <w:pPr>
              <w:tabs>
                <w:tab w:val="left" w:pos="426"/>
                <w:tab w:val="left" w:pos="567"/>
              </w:tabs>
              <w:spacing w:line="360" w:lineRule="auto"/>
              <w:rPr>
                <w:rFonts w:asciiTheme="minorBidi" w:eastAsia="SimSun" w:hAnsiTheme="minorBidi"/>
                <w:b/>
                <w:sz w:val="20"/>
                <w:szCs w:val="20"/>
              </w:rPr>
            </w:pPr>
            <w:r w:rsidRPr="00B97121">
              <w:rPr>
                <w:rFonts w:asciiTheme="minorBidi" w:eastAsia="SimSun" w:hAnsiTheme="minorBidi"/>
                <w:sz w:val="20"/>
                <w:szCs w:val="20"/>
              </w:rPr>
              <w:t xml:space="preserve">Angola, Burundi, </w:t>
            </w:r>
            <w:proofErr w:type="spellStart"/>
            <w:r w:rsidRPr="00B97121">
              <w:rPr>
                <w:rFonts w:asciiTheme="minorBidi" w:eastAsia="SimSun" w:hAnsiTheme="minorBidi"/>
                <w:sz w:val="20"/>
                <w:szCs w:val="20"/>
              </w:rPr>
              <w:t>Benin</w:t>
            </w:r>
            <w:proofErr w:type="spellEnd"/>
            <w:r w:rsidRPr="00B97121">
              <w:rPr>
                <w:rFonts w:asciiTheme="minorBidi" w:eastAsia="SimSun" w:hAnsiTheme="minorBidi"/>
                <w:sz w:val="20"/>
                <w:szCs w:val="20"/>
              </w:rPr>
              <w:t xml:space="preserve">, Burkina Faso, Central </w:t>
            </w:r>
            <w:proofErr w:type="spellStart"/>
            <w:r w:rsidRPr="00B97121">
              <w:rPr>
                <w:rFonts w:asciiTheme="minorBidi" w:eastAsia="SimSun" w:hAnsiTheme="minorBidi"/>
                <w:sz w:val="20"/>
                <w:szCs w:val="20"/>
              </w:rPr>
              <w:t>African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Republic</w:t>
            </w:r>
            <w:proofErr w:type="spellEnd"/>
            <w:r w:rsidRPr="00B97121">
              <w:rPr>
                <w:rFonts w:asciiTheme="minorBidi" w:eastAsia="SimSun" w:hAnsiTheme="minorBidi"/>
                <w:sz w:val="20"/>
                <w:szCs w:val="20"/>
              </w:rPr>
              <w:t xml:space="preserve">, Congo, </w:t>
            </w:r>
            <w:proofErr w:type="spellStart"/>
            <w:r w:rsidRPr="00B97121">
              <w:rPr>
                <w:rFonts w:asciiTheme="minorBidi" w:eastAsia="SimSun" w:hAnsiTheme="minorBidi"/>
                <w:sz w:val="20"/>
                <w:szCs w:val="20"/>
              </w:rPr>
              <w:t>Dem</w:t>
            </w:r>
            <w:proofErr w:type="spellEnd"/>
            <w:r w:rsidRPr="00B97121">
              <w:rPr>
                <w:rFonts w:asciiTheme="minorBidi" w:eastAsia="SimSun" w:hAnsiTheme="minorBidi"/>
                <w:sz w:val="20"/>
                <w:szCs w:val="20"/>
              </w:rPr>
              <w:t xml:space="preserve">. Rep. Guinea-Bissau, Mali, Mozambique, Malawi, </w:t>
            </w:r>
            <w:proofErr w:type="spellStart"/>
            <w:r w:rsidRPr="00B97121">
              <w:rPr>
                <w:rFonts w:asciiTheme="minorBidi" w:eastAsia="SimSun" w:hAnsiTheme="minorBidi"/>
                <w:sz w:val="20"/>
                <w:szCs w:val="20"/>
              </w:rPr>
              <w:t>Rwanda</w:t>
            </w:r>
            <w:proofErr w:type="spellEnd"/>
            <w:r w:rsidRPr="00B97121">
              <w:rPr>
                <w:rFonts w:asciiTheme="minorBidi" w:eastAsia="SimSun" w:hAnsiTheme="minorBidi"/>
                <w:sz w:val="20"/>
                <w:szCs w:val="20"/>
              </w:rPr>
              <w:t>, Sierra Leone, South Sudan, Togo, Tanzania, Zambia</w:t>
            </w:r>
          </w:p>
        </w:tc>
        <w:tc>
          <w:tcPr>
            <w:tcW w:w="441" w:type="dxa"/>
            <w:gridSpan w:val="2"/>
          </w:tcPr>
          <w:p w14:paraId="4D8F8DC2"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16</w:t>
            </w:r>
          </w:p>
        </w:tc>
        <w:tc>
          <w:tcPr>
            <w:tcW w:w="4174" w:type="dxa"/>
            <w:gridSpan w:val="2"/>
          </w:tcPr>
          <w:p w14:paraId="173E3C2C"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 xml:space="preserve">Angola, Burundi, </w:t>
            </w:r>
            <w:proofErr w:type="spellStart"/>
            <w:r w:rsidRPr="00B97121">
              <w:rPr>
                <w:rFonts w:asciiTheme="minorBidi" w:eastAsia="SimSun" w:hAnsiTheme="minorBidi"/>
                <w:sz w:val="20"/>
                <w:szCs w:val="20"/>
              </w:rPr>
              <w:t>Benin</w:t>
            </w:r>
            <w:proofErr w:type="spellEnd"/>
            <w:r w:rsidRPr="00B97121">
              <w:rPr>
                <w:rFonts w:asciiTheme="minorBidi" w:eastAsia="SimSun" w:hAnsiTheme="minorBidi"/>
                <w:sz w:val="20"/>
                <w:szCs w:val="20"/>
              </w:rPr>
              <w:t xml:space="preserve">, Burkina Faso, Central </w:t>
            </w:r>
            <w:proofErr w:type="spellStart"/>
            <w:r w:rsidRPr="00B97121">
              <w:rPr>
                <w:rFonts w:asciiTheme="minorBidi" w:eastAsia="SimSun" w:hAnsiTheme="minorBidi"/>
                <w:sz w:val="20"/>
                <w:szCs w:val="20"/>
              </w:rPr>
              <w:t>African</w:t>
            </w:r>
            <w:proofErr w:type="spellEnd"/>
            <w:r w:rsidRPr="00B97121">
              <w:rPr>
                <w:rFonts w:asciiTheme="minorBidi" w:eastAsia="SimSun" w:hAnsiTheme="minorBidi"/>
                <w:sz w:val="20"/>
                <w:szCs w:val="20"/>
              </w:rPr>
              <w:t xml:space="preserve"> </w:t>
            </w:r>
            <w:proofErr w:type="spellStart"/>
            <w:r w:rsidRPr="00B97121">
              <w:rPr>
                <w:rFonts w:asciiTheme="minorBidi" w:eastAsia="SimSun" w:hAnsiTheme="minorBidi"/>
                <w:sz w:val="20"/>
                <w:szCs w:val="20"/>
              </w:rPr>
              <w:t>Republic</w:t>
            </w:r>
            <w:proofErr w:type="spellEnd"/>
            <w:r w:rsidRPr="00B97121">
              <w:rPr>
                <w:rFonts w:asciiTheme="minorBidi" w:eastAsia="SimSun" w:hAnsiTheme="minorBidi"/>
                <w:sz w:val="20"/>
                <w:szCs w:val="20"/>
              </w:rPr>
              <w:t xml:space="preserve">, Congo, </w:t>
            </w:r>
            <w:proofErr w:type="spellStart"/>
            <w:r w:rsidRPr="00B97121">
              <w:rPr>
                <w:rFonts w:asciiTheme="minorBidi" w:eastAsia="SimSun" w:hAnsiTheme="minorBidi"/>
                <w:sz w:val="20"/>
                <w:szCs w:val="20"/>
              </w:rPr>
              <w:t>Dem</w:t>
            </w:r>
            <w:proofErr w:type="spellEnd"/>
            <w:r w:rsidRPr="00B97121">
              <w:rPr>
                <w:rFonts w:asciiTheme="minorBidi" w:eastAsia="SimSun" w:hAnsiTheme="minorBidi"/>
                <w:sz w:val="20"/>
                <w:szCs w:val="20"/>
              </w:rPr>
              <w:t xml:space="preserve">. Rep., Guinea-Bissau, Mali, Mozambique, Malawi, </w:t>
            </w:r>
            <w:proofErr w:type="spellStart"/>
            <w:r w:rsidRPr="00B97121">
              <w:rPr>
                <w:rFonts w:asciiTheme="minorBidi" w:eastAsia="SimSun" w:hAnsiTheme="minorBidi"/>
                <w:sz w:val="20"/>
                <w:szCs w:val="20"/>
              </w:rPr>
              <w:t>Rwanda</w:t>
            </w:r>
            <w:proofErr w:type="spellEnd"/>
            <w:r w:rsidRPr="00B97121">
              <w:rPr>
                <w:rFonts w:asciiTheme="minorBidi" w:eastAsia="SimSun" w:hAnsiTheme="minorBidi"/>
                <w:sz w:val="20"/>
                <w:szCs w:val="20"/>
              </w:rPr>
              <w:t>, Sierra Leone, South Sudan, Chad, Togo, Tanzania, Zambia</w:t>
            </w:r>
          </w:p>
        </w:tc>
        <w:tc>
          <w:tcPr>
            <w:tcW w:w="483" w:type="dxa"/>
            <w:gridSpan w:val="2"/>
          </w:tcPr>
          <w:p w14:paraId="49971EA7" w14:textId="77777777" w:rsidR="0032057E" w:rsidRPr="00B97121" w:rsidRDefault="0032057E" w:rsidP="00B22C87">
            <w:pPr>
              <w:tabs>
                <w:tab w:val="left" w:pos="426"/>
                <w:tab w:val="left" w:pos="567"/>
              </w:tabs>
              <w:spacing w:line="360" w:lineRule="auto"/>
              <w:rPr>
                <w:rFonts w:asciiTheme="minorBidi" w:eastAsia="SimSun" w:hAnsiTheme="minorBidi"/>
                <w:sz w:val="20"/>
                <w:szCs w:val="20"/>
              </w:rPr>
            </w:pPr>
            <w:r w:rsidRPr="00B97121">
              <w:rPr>
                <w:rFonts w:asciiTheme="minorBidi" w:eastAsia="SimSun" w:hAnsiTheme="minorBidi"/>
                <w:sz w:val="20"/>
                <w:szCs w:val="20"/>
              </w:rPr>
              <w:t>17</w:t>
            </w:r>
          </w:p>
        </w:tc>
      </w:tr>
    </w:tbl>
    <w:p w14:paraId="5339CC06" w14:textId="77777777" w:rsidR="0032057E" w:rsidRPr="00B97121" w:rsidRDefault="0032057E" w:rsidP="0032057E">
      <w:pPr>
        <w:tabs>
          <w:tab w:val="left" w:pos="426"/>
          <w:tab w:val="left" w:pos="567"/>
        </w:tabs>
        <w:spacing w:line="360" w:lineRule="auto"/>
        <w:ind w:firstLine="181"/>
        <w:contextualSpacing/>
        <w:rPr>
          <w:rFonts w:asciiTheme="minorBidi" w:eastAsia="SimSun" w:hAnsiTheme="minorBidi" w:cstheme="minorBidi"/>
          <w:szCs w:val="24"/>
        </w:rPr>
      </w:pPr>
    </w:p>
    <w:p w14:paraId="6B54F45E"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lastRenderedPageBreak/>
        <w:t>The first cluster, the most prosperous, is characterized by a minimum proportion of the population with incomes below $ 3.2, the highest life expectancy (78.61 years), low infant mortality (3.95) and a high degree of coverage of the population with Internet access.</w:t>
      </w:r>
    </w:p>
    <w:p w14:paraId="352FB375"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The second cluster includes </w:t>
      </w:r>
      <w:proofErr w:type="gramStart"/>
      <w:r w:rsidRPr="0032057E">
        <w:rPr>
          <w:rFonts w:asciiTheme="minorBidi" w:eastAsia="SimSun" w:hAnsiTheme="minorBidi" w:cstheme="minorBidi"/>
          <w:szCs w:val="24"/>
          <w:lang w:val="en-US"/>
        </w:rPr>
        <w:t>fairly prosperous</w:t>
      </w:r>
      <w:proofErr w:type="gramEnd"/>
      <w:r w:rsidRPr="0032057E">
        <w:rPr>
          <w:rFonts w:asciiTheme="minorBidi" w:eastAsia="SimSun" w:hAnsiTheme="minorBidi" w:cstheme="minorBidi"/>
          <w:szCs w:val="24"/>
          <w:lang w:val="en-US"/>
        </w:rPr>
        <w:t xml:space="preserve"> countries with fairly high indicators for all factor characteristics: the proportion of the population with incomes below $ 3.2 (12.29%), high life expectancy (73.64 years), low infant mortality (11.1) and a moderate degree of coverage of the population with Internet access.</w:t>
      </w:r>
    </w:p>
    <w:p w14:paraId="02046C58"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It is important to note that in five years the boundaries of the cluster have undergone the most serious changes and this factor is associated with the massive transition of countries from the second cluster to the third. For example, the average infant mortality rate for the second cluster in 2015 was 11.1, and in 2019 it increased to 3.64, or another example: the average life expectancy (73.64 and 79.16, respectively).</w:t>
      </w:r>
    </w:p>
    <w:p w14:paraId="7EBD2177"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The third cluster includes countries with a low standard of living, the growth of its poorest part (19.15% - the share of the population, with incomes below $ 1.9). The low level of medical care leads to a decrease in life expectancy (65.61 years), and the low availability of Internet access only exacerbates the problems.</w:t>
      </w:r>
    </w:p>
    <w:p w14:paraId="38B9C699" w14:textId="77777777" w:rsidR="0032057E" w:rsidRPr="0032057E" w:rsidRDefault="0032057E" w:rsidP="0032057E">
      <w:pPr>
        <w:tabs>
          <w:tab w:val="left" w:pos="426"/>
          <w:tab w:val="left" w:pos="567"/>
        </w:tabs>
        <w:spacing w:line="360" w:lineRule="auto"/>
        <w:ind w:firstLine="181"/>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The countries included in the fourth cluster can be described as the most disadvantaged. It is important to note that the countries forming this cluster in five years (2015-2019) we were never able to go beyond the cluster.</w:t>
      </w:r>
    </w:p>
    <w:p w14:paraId="25934B0F" w14:textId="77777777" w:rsidR="00335177" w:rsidRDefault="00335177" w:rsidP="00335177">
      <w:pPr>
        <w:tabs>
          <w:tab w:val="left" w:pos="426"/>
          <w:tab w:val="left" w:pos="567"/>
        </w:tabs>
        <w:spacing w:line="360" w:lineRule="auto"/>
        <w:ind w:firstLine="181"/>
        <w:contextualSpacing/>
        <w:rPr>
          <w:rFonts w:cs="Arial"/>
          <w:b/>
          <w:szCs w:val="24"/>
          <w:lang w:val="en-US"/>
        </w:rPr>
      </w:pPr>
    </w:p>
    <w:p w14:paraId="4C1344B7" w14:textId="41143AAF" w:rsidR="00C04164" w:rsidRDefault="006E3092" w:rsidP="00CD4DF6">
      <w:pPr>
        <w:pStyle w:val="Ttulo10"/>
        <w:ind w:right="57"/>
        <w:rPr>
          <w:rFonts w:ascii="Arial" w:eastAsia="Calibri" w:hAnsi="Arial" w:cs="Arial"/>
          <w:b/>
          <w:spacing w:val="0"/>
          <w:kern w:val="0"/>
          <w:sz w:val="24"/>
          <w:szCs w:val="24"/>
          <w:lang w:val="en-US"/>
        </w:rPr>
      </w:pPr>
      <w:r w:rsidRPr="00C34BAA">
        <w:rPr>
          <w:rFonts w:ascii="Arial" w:eastAsia="Calibri" w:hAnsi="Arial" w:cs="Arial"/>
          <w:b/>
          <w:spacing w:val="0"/>
          <w:kern w:val="0"/>
          <w:sz w:val="24"/>
          <w:szCs w:val="24"/>
          <w:lang w:val="en-US"/>
        </w:rPr>
        <w:t>Conclusion</w:t>
      </w:r>
    </w:p>
    <w:p w14:paraId="43F76866" w14:textId="77777777" w:rsidR="009936C1" w:rsidRPr="009936C1" w:rsidRDefault="009936C1" w:rsidP="009936C1">
      <w:pPr>
        <w:rPr>
          <w:lang w:val="en-US"/>
        </w:rPr>
      </w:pPr>
    </w:p>
    <w:p w14:paraId="6DB3DE65"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rPr>
      </w:pPr>
      <w:r w:rsidRPr="0032057E">
        <w:rPr>
          <w:rFonts w:asciiTheme="minorBidi" w:eastAsia="SimSun" w:hAnsiTheme="minorBidi" w:cstheme="minorBidi"/>
          <w:szCs w:val="24"/>
          <w:lang w:val="en-US"/>
        </w:rPr>
        <w:t xml:space="preserve">The results of the correlation analysis show the relationship of indicators of the Sustainable Development Goals. At the same time, we can say that without solving the problems of SDG 1, SDG 2 and SDG 3, countries cannot achieve the target values for goals aimed at sustainable economic growth, innovative </w:t>
      </w:r>
      <w:proofErr w:type="gramStart"/>
      <w:r w:rsidRPr="0032057E">
        <w:rPr>
          <w:rFonts w:asciiTheme="minorBidi" w:eastAsia="SimSun" w:hAnsiTheme="minorBidi" w:cstheme="minorBidi"/>
          <w:szCs w:val="24"/>
          <w:lang w:val="en-US"/>
        </w:rPr>
        <w:t>development</w:t>
      </w:r>
      <w:proofErr w:type="gramEnd"/>
      <w:r w:rsidRPr="0032057E">
        <w:rPr>
          <w:rFonts w:asciiTheme="minorBidi" w:eastAsia="SimSun" w:hAnsiTheme="minorBidi" w:cstheme="minorBidi"/>
          <w:szCs w:val="24"/>
          <w:lang w:val="en-US"/>
        </w:rPr>
        <w:t xml:space="preserve"> and ecosystem conservation. </w:t>
      </w:r>
    </w:p>
    <w:p w14:paraId="2867B1D1"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bidi="fa-IR"/>
        </w:rPr>
      </w:pPr>
      <w:r w:rsidRPr="0032057E">
        <w:rPr>
          <w:rFonts w:asciiTheme="minorBidi" w:eastAsia="SimSun" w:hAnsiTheme="minorBidi" w:cstheme="minorBidi"/>
          <w:szCs w:val="24"/>
          <w:lang w:val="en-US"/>
        </w:rPr>
        <w:t xml:space="preserve">In the Russian and foreign literature, it is noted that it is necessary to calculate the poverty level boundary </w:t>
      </w:r>
      <w:proofErr w:type="gramStart"/>
      <w:r w:rsidRPr="0032057E">
        <w:rPr>
          <w:rFonts w:asciiTheme="minorBidi" w:eastAsia="SimSun" w:hAnsiTheme="minorBidi" w:cstheme="minorBidi"/>
          <w:szCs w:val="24"/>
          <w:lang w:val="en-US"/>
        </w:rPr>
        <w:t>taking into account</w:t>
      </w:r>
      <w:proofErr w:type="gramEnd"/>
      <w:r w:rsidRPr="0032057E">
        <w:rPr>
          <w:rFonts w:asciiTheme="minorBidi" w:eastAsia="SimSun" w:hAnsiTheme="minorBidi" w:cstheme="minorBidi"/>
          <w:szCs w:val="24"/>
          <w:lang w:val="en-US"/>
        </w:rPr>
        <w:t xml:space="preserve"> the characteristics of households: when living together, there is a scale effect obtained through the joint consumption of common goods. Thus, the boundaries of the poverty level should be calculated not on average per </w:t>
      </w:r>
      <w:proofErr w:type="gramStart"/>
      <w:r w:rsidRPr="0032057E">
        <w:rPr>
          <w:rFonts w:asciiTheme="minorBidi" w:eastAsia="SimSun" w:hAnsiTheme="minorBidi" w:cstheme="minorBidi"/>
          <w:szCs w:val="24"/>
          <w:lang w:val="en-US"/>
        </w:rPr>
        <w:t>person, but</w:t>
      </w:r>
      <w:proofErr w:type="gramEnd"/>
      <w:r w:rsidRPr="0032057E">
        <w:rPr>
          <w:rFonts w:asciiTheme="minorBidi" w:eastAsia="SimSun" w:hAnsiTheme="minorBidi" w:cstheme="minorBidi"/>
          <w:szCs w:val="24"/>
          <w:lang w:val="en-US"/>
        </w:rPr>
        <w:t xml:space="preserve"> taking into account the characteristics of the household</w:t>
      </w:r>
      <w:r w:rsidRPr="0032057E">
        <w:rPr>
          <w:rFonts w:asciiTheme="minorBidi" w:eastAsia="SimSun" w:hAnsiTheme="minorBidi" w:cstheme="minorBidi"/>
          <w:szCs w:val="24"/>
          <w:lang w:val="en-US" w:bidi="fa-IR"/>
        </w:rPr>
        <w:t>.</w:t>
      </w:r>
    </w:p>
    <w:p w14:paraId="2D1D72C6" w14:textId="77777777" w:rsidR="0032057E" w:rsidRPr="0032057E" w:rsidRDefault="0032057E" w:rsidP="0032057E">
      <w:pPr>
        <w:spacing w:line="360" w:lineRule="auto"/>
        <w:contextualSpacing/>
        <w:rPr>
          <w:rFonts w:asciiTheme="minorBidi" w:eastAsia="SimSun" w:hAnsiTheme="minorBidi" w:cstheme="minorBidi"/>
          <w:szCs w:val="24"/>
          <w:lang w:val="en-US" w:bidi="fa-IR"/>
        </w:rPr>
      </w:pPr>
    </w:p>
    <w:p w14:paraId="5DC8D338" w14:textId="77777777" w:rsidR="0032057E" w:rsidRPr="0032057E" w:rsidRDefault="0032057E" w:rsidP="0032057E">
      <w:pPr>
        <w:spacing w:line="360" w:lineRule="auto"/>
        <w:contextualSpacing/>
        <w:rPr>
          <w:rFonts w:asciiTheme="minorBidi" w:eastAsia="SimSun" w:hAnsiTheme="minorBidi" w:cstheme="minorBidi"/>
          <w:b/>
          <w:bCs/>
          <w:szCs w:val="24"/>
          <w:lang w:val="en-US" w:bidi="fa-IR"/>
        </w:rPr>
      </w:pPr>
      <w:r w:rsidRPr="0032057E">
        <w:rPr>
          <w:rFonts w:asciiTheme="minorBidi" w:eastAsia="SimSun" w:hAnsiTheme="minorBidi" w:cstheme="minorBidi"/>
          <w:b/>
          <w:bCs/>
          <w:szCs w:val="24"/>
          <w:lang w:val="en-US" w:bidi="fa-IR"/>
        </w:rPr>
        <w:lastRenderedPageBreak/>
        <w:t>Acknowledgments</w:t>
      </w:r>
    </w:p>
    <w:p w14:paraId="7C5BFB82"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bidi="fa-IR"/>
        </w:rPr>
      </w:pPr>
      <w:r w:rsidRPr="0032057E">
        <w:rPr>
          <w:rFonts w:asciiTheme="minorBidi" w:eastAsia="SimSun" w:hAnsiTheme="minorBidi" w:cstheme="minorBidi"/>
          <w:szCs w:val="24"/>
          <w:lang w:val="en-US" w:bidi="fa-IR"/>
        </w:rPr>
        <w:t>The article was prepared as part of a research work on the topic: "Methodological approaches of cross-country comparisons in assessing the implementation of Sustainable Development Goals based on the harmonization of various sources of information" funded from the funds of the Plekhanov Russian University of Economics (Order No. 866 of 06/28/2021).</w:t>
      </w:r>
    </w:p>
    <w:p w14:paraId="6FCCA734" w14:textId="77777777" w:rsidR="0032057E" w:rsidRPr="0032057E" w:rsidRDefault="0032057E" w:rsidP="0032057E">
      <w:pPr>
        <w:spacing w:line="360" w:lineRule="auto"/>
        <w:ind w:firstLine="180"/>
        <w:contextualSpacing/>
        <w:rPr>
          <w:rFonts w:asciiTheme="minorBidi" w:eastAsia="SimSun" w:hAnsiTheme="minorBidi" w:cstheme="minorBidi"/>
          <w:szCs w:val="24"/>
          <w:lang w:val="en-US" w:bidi="fa-IR"/>
        </w:rPr>
      </w:pPr>
    </w:p>
    <w:p w14:paraId="7ED85C5E" w14:textId="4D51E95F" w:rsidR="00F13134" w:rsidRDefault="00C04164" w:rsidP="00F8642A">
      <w:pPr>
        <w:ind w:right="57"/>
        <w:rPr>
          <w:rFonts w:cs="Arial"/>
          <w:b/>
          <w:szCs w:val="24"/>
          <w:lang w:val="en-US"/>
        </w:rPr>
      </w:pPr>
      <w:proofErr w:type="spellStart"/>
      <w:r w:rsidRPr="00E24515">
        <w:rPr>
          <w:rFonts w:cs="Arial"/>
          <w:b/>
          <w:szCs w:val="24"/>
          <w:lang w:val="en-US"/>
        </w:rPr>
        <w:t>Referencia</w:t>
      </w:r>
      <w:r w:rsidR="00F21E7B" w:rsidRPr="00E24515">
        <w:rPr>
          <w:rFonts w:cs="Arial"/>
          <w:b/>
          <w:szCs w:val="24"/>
          <w:lang w:val="en-US"/>
        </w:rPr>
        <w:t>s</w:t>
      </w:r>
      <w:proofErr w:type="spellEnd"/>
    </w:p>
    <w:p w14:paraId="10E03617" w14:textId="77777777" w:rsidR="0032057E" w:rsidRPr="00B97121" w:rsidRDefault="0032057E" w:rsidP="0032057E">
      <w:pPr>
        <w:numPr>
          <w:ilvl w:val="0"/>
          <w:numId w:val="49"/>
        </w:numPr>
        <w:spacing w:after="200" w:line="360" w:lineRule="auto"/>
        <w:contextualSpacing/>
        <w:rPr>
          <w:rFonts w:asciiTheme="minorBidi" w:eastAsia="SimSun" w:hAnsiTheme="minorBidi" w:cstheme="minorBidi"/>
          <w:szCs w:val="24"/>
          <w:lang w:bidi="fa-IR"/>
        </w:rPr>
      </w:pPr>
      <w:proofErr w:type="spellStart"/>
      <w:r w:rsidRPr="0032057E">
        <w:rPr>
          <w:rFonts w:asciiTheme="minorBidi" w:eastAsia="SimSun" w:hAnsiTheme="minorBidi" w:cstheme="minorBidi"/>
          <w:szCs w:val="24"/>
          <w:lang w:val="en-US" w:bidi="fa-IR"/>
        </w:rPr>
        <w:t>Adrangi</w:t>
      </w:r>
      <w:proofErr w:type="spellEnd"/>
      <w:r w:rsidRPr="0032057E">
        <w:rPr>
          <w:rFonts w:asciiTheme="minorBidi" w:eastAsia="SimSun" w:hAnsiTheme="minorBidi" w:cstheme="minorBidi"/>
          <w:szCs w:val="24"/>
          <w:lang w:val="en-US" w:bidi="fa-IR"/>
        </w:rPr>
        <w:t xml:space="preserve">, B., Kerr, L. (2022). Sustainable development indicators and their relationship to GDP: Evidence from emerging economies. </w:t>
      </w:r>
      <w:proofErr w:type="spellStart"/>
      <w:r w:rsidRPr="00B97121">
        <w:rPr>
          <w:rFonts w:asciiTheme="minorBidi" w:eastAsia="SimSun" w:hAnsiTheme="minorBidi" w:cstheme="minorBidi"/>
          <w:szCs w:val="24"/>
          <w:lang w:bidi="fa-IR"/>
        </w:rPr>
        <w:t>Sustainability</w:t>
      </w:r>
      <w:proofErr w:type="spellEnd"/>
      <w:r w:rsidRPr="00B97121">
        <w:rPr>
          <w:rFonts w:asciiTheme="minorBidi" w:eastAsia="SimSun" w:hAnsiTheme="minorBidi" w:cstheme="minorBidi"/>
          <w:szCs w:val="24"/>
          <w:lang w:bidi="fa-IR"/>
        </w:rPr>
        <w:t xml:space="preserve">, 14(2), 658. https://doi.org/10.3390/su14020658 </w:t>
      </w:r>
    </w:p>
    <w:p w14:paraId="0487DB36" w14:textId="77777777" w:rsidR="0032057E" w:rsidRPr="00B97121" w:rsidRDefault="0032057E" w:rsidP="0032057E">
      <w:pPr>
        <w:numPr>
          <w:ilvl w:val="0"/>
          <w:numId w:val="49"/>
        </w:numPr>
        <w:spacing w:after="200" w:line="360" w:lineRule="auto"/>
        <w:contextualSpacing/>
        <w:rPr>
          <w:rFonts w:asciiTheme="minorBidi" w:eastAsia="SimSun" w:hAnsiTheme="minorBidi" w:cstheme="minorBidi"/>
          <w:szCs w:val="24"/>
          <w:lang w:bidi="fa-IR"/>
        </w:rPr>
      </w:pPr>
      <w:proofErr w:type="spellStart"/>
      <w:r w:rsidRPr="0032057E">
        <w:rPr>
          <w:rFonts w:asciiTheme="minorBidi" w:eastAsia="SimSun" w:hAnsiTheme="minorBidi" w:cstheme="minorBidi"/>
          <w:szCs w:val="24"/>
          <w:lang w:val="en-US" w:bidi="fa-IR"/>
        </w:rPr>
        <w:t>Coscieme</w:t>
      </w:r>
      <w:proofErr w:type="spellEnd"/>
      <w:r w:rsidRPr="0032057E">
        <w:rPr>
          <w:rFonts w:asciiTheme="minorBidi" w:eastAsia="SimSun" w:hAnsiTheme="minorBidi" w:cstheme="minorBidi"/>
          <w:szCs w:val="24"/>
          <w:lang w:val="en-US" w:bidi="fa-IR"/>
        </w:rPr>
        <w:t xml:space="preserve">, L., Mortensen, L.F., Anderson, S., Ward, J., Donohue, I., Sutton, P.C. (2020). Going beyond Gross Domestic Product as an indicator to bring coherence to the Sustainable Development Goals. </w:t>
      </w:r>
      <w:proofErr w:type="spellStart"/>
      <w:r w:rsidRPr="00B97121">
        <w:rPr>
          <w:rFonts w:asciiTheme="minorBidi" w:eastAsia="SimSun" w:hAnsiTheme="minorBidi" w:cstheme="minorBidi"/>
          <w:szCs w:val="24"/>
          <w:lang w:bidi="fa-IR"/>
        </w:rPr>
        <w:t>Journal</w:t>
      </w:r>
      <w:proofErr w:type="spellEnd"/>
      <w:r w:rsidRPr="00B97121">
        <w:rPr>
          <w:rFonts w:asciiTheme="minorBidi" w:eastAsia="SimSun" w:hAnsiTheme="minorBidi" w:cstheme="minorBidi"/>
          <w:szCs w:val="24"/>
          <w:lang w:bidi="fa-IR"/>
        </w:rPr>
        <w:t xml:space="preserve"> </w:t>
      </w:r>
      <w:proofErr w:type="spellStart"/>
      <w:r w:rsidRPr="00B97121">
        <w:rPr>
          <w:rFonts w:asciiTheme="minorBidi" w:eastAsia="SimSun" w:hAnsiTheme="minorBidi" w:cstheme="minorBidi"/>
          <w:szCs w:val="24"/>
          <w:lang w:bidi="fa-IR"/>
        </w:rPr>
        <w:t>of</w:t>
      </w:r>
      <w:proofErr w:type="spellEnd"/>
      <w:r w:rsidRPr="00B97121">
        <w:rPr>
          <w:rFonts w:asciiTheme="minorBidi" w:eastAsia="SimSun" w:hAnsiTheme="minorBidi" w:cstheme="minorBidi"/>
          <w:szCs w:val="24"/>
          <w:lang w:bidi="fa-IR"/>
        </w:rPr>
        <w:t xml:space="preserve"> </w:t>
      </w:r>
      <w:proofErr w:type="spellStart"/>
      <w:r w:rsidRPr="00B97121">
        <w:rPr>
          <w:rFonts w:asciiTheme="minorBidi" w:eastAsia="SimSun" w:hAnsiTheme="minorBidi" w:cstheme="minorBidi"/>
          <w:szCs w:val="24"/>
          <w:lang w:bidi="fa-IR"/>
        </w:rPr>
        <w:t>Cleaner</w:t>
      </w:r>
      <w:proofErr w:type="spellEnd"/>
      <w:r w:rsidRPr="00B97121">
        <w:rPr>
          <w:rFonts w:asciiTheme="minorBidi" w:eastAsia="SimSun" w:hAnsiTheme="minorBidi" w:cstheme="minorBidi"/>
          <w:szCs w:val="24"/>
          <w:lang w:bidi="fa-IR"/>
        </w:rPr>
        <w:t xml:space="preserve"> </w:t>
      </w:r>
      <w:proofErr w:type="spellStart"/>
      <w:r w:rsidRPr="00B97121">
        <w:rPr>
          <w:rFonts w:asciiTheme="minorBidi" w:eastAsia="SimSun" w:hAnsiTheme="minorBidi" w:cstheme="minorBidi"/>
          <w:szCs w:val="24"/>
          <w:lang w:bidi="fa-IR"/>
        </w:rPr>
        <w:t>Production</w:t>
      </w:r>
      <w:proofErr w:type="spellEnd"/>
      <w:r w:rsidRPr="00B97121">
        <w:rPr>
          <w:rFonts w:asciiTheme="minorBidi" w:eastAsia="SimSun" w:hAnsiTheme="minorBidi" w:cstheme="minorBidi"/>
          <w:szCs w:val="24"/>
          <w:lang w:bidi="fa-IR"/>
        </w:rPr>
        <w:t xml:space="preserve">, 248. https://doi.org/10.1016/j.jclepro.2019.119232 </w:t>
      </w:r>
    </w:p>
    <w:p w14:paraId="6AF16BB3" w14:textId="77777777" w:rsidR="0032057E" w:rsidRPr="0032057E" w:rsidRDefault="0032057E" w:rsidP="0032057E">
      <w:pPr>
        <w:numPr>
          <w:ilvl w:val="0"/>
          <w:numId w:val="49"/>
        </w:numPr>
        <w:spacing w:after="200" w:line="360" w:lineRule="auto"/>
        <w:contextualSpacing/>
        <w:rPr>
          <w:rFonts w:asciiTheme="minorBidi" w:eastAsia="SimSun" w:hAnsiTheme="minorBidi" w:cstheme="minorBidi"/>
          <w:szCs w:val="24"/>
          <w:lang w:val="en-US" w:bidi="fa-IR"/>
        </w:rPr>
      </w:pPr>
      <w:r w:rsidRPr="0032057E">
        <w:rPr>
          <w:rFonts w:asciiTheme="minorBidi" w:eastAsia="SimSun" w:hAnsiTheme="minorBidi" w:cstheme="minorBidi"/>
          <w:szCs w:val="24"/>
          <w:lang w:val="en-US" w:bidi="fa-IR"/>
        </w:rPr>
        <w:t xml:space="preserve">Federal State Statistics Service. (n.d.). Retrieved from: </w:t>
      </w:r>
      <w:proofErr w:type="gramStart"/>
      <w:r w:rsidRPr="0032057E">
        <w:rPr>
          <w:rFonts w:asciiTheme="minorBidi" w:eastAsia="SimSun" w:hAnsiTheme="minorBidi" w:cstheme="minorBidi"/>
          <w:szCs w:val="24"/>
          <w:lang w:val="en-US" w:bidi="fa-IR"/>
        </w:rPr>
        <w:t>https://rosstat.gov.ru/</w:t>
      </w:r>
      <w:proofErr w:type="gramEnd"/>
      <w:r w:rsidRPr="0032057E">
        <w:rPr>
          <w:rFonts w:asciiTheme="minorBidi" w:eastAsia="SimSun" w:hAnsiTheme="minorBidi" w:cstheme="minorBidi"/>
          <w:szCs w:val="24"/>
          <w:lang w:val="en-US" w:bidi="fa-IR"/>
        </w:rPr>
        <w:t xml:space="preserve"> </w:t>
      </w:r>
    </w:p>
    <w:p w14:paraId="4ABD9E00" w14:textId="77777777" w:rsidR="0032057E" w:rsidRPr="0032057E" w:rsidRDefault="0032057E" w:rsidP="0032057E">
      <w:pPr>
        <w:numPr>
          <w:ilvl w:val="0"/>
          <w:numId w:val="49"/>
        </w:numPr>
        <w:spacing w:after="200" w:line="360" w:lineRule="auto"/>
        <w:contextualSpacing/>
        <w:rPr>
          <w:rFonts w:asciiTheme="minorBidi" w:eastAsia="SimSun" w:hAnsiTheme="minorBidi" w:cstheme="minorBidi"/>
          <w:szCs w:val="24"/>
          <w:lang w:val="en-US" w:bidi="fa-IR"/>
        </w:rPr>
      </w:pPr>
      <w:r w:rsidRPr="0032057E">
        <w:rPr>
          <w:rFonts w:asciiTheme="minorBidi" w:eastAsia="SimSun" w:hAnsiTheme="minorBidi" w:cstheme="minorBidi"/>
          <w:szCs w:val="24"/>
          <w:lang w:val="en-US" w:bidi="fa-IR"/>
        </w:rPr>
        <w:t xml:space="preserve">Hussain, F., Chaudhry, M.N., Batool, S.A. (2014). Assessment of key parameters in municipal solid waste management: A prerequisite for sustainability. International Journal of Sustainable Development &amp; World Ecology, 21(6), 519-525. https://doi.org/10.1080/13504509.2014.971452   </w:t>
      </w:r>
    </w:p>
    <w:p w14:paraId="67633619" w14:textId="77777777" w:rsidR="0032057E" w:rsidRPr="00B97121" w:rsidRDefault="0032057E" w:rsidP="0032057E">
      <w:pPr>
        <w:numPr>
          <w:ilvl w:val="0"/>
          <w:numId w:val="49"/>
        </w:numPr>
        <w:spacing w:after="200" w:line="360" w:lineRule="auto"/>
        <w:contextualSpacing/>
        <w:rPr>
          <w:rFonts w:asciiTheme="minorBidi" w:eastAsia="SimSun" w:hAnsiTheme="minorBidi" w:cstheme="minorBidi"/>
          <w:szCs w:val="24"/>
          <w:lang w:bidi="fa-IR"/>
        </w:rPr>
      </w:pPr>
      <w:r w:rsidRPr="0032057E">
        <w:rPr>
          <w:rFonts w:asciiTheme="minorBidi" w:eastAsia="SimSun" w:hAnsiTheme="minorBidi" w:cstheme="minorBidi"/>
          <w:szCs w:val="24"/>
          <w:lang w:val="en-US" w:bidi="fa-IR"/>
        </w:rPr>
        <w:t xml:space="preserve">Prada, </w:t>
      </w:r>
      <w:proofErr w:type="gramStart"/>
      <w:r w:rsidRPr="0032057E">
        <w:rPr>
          <w:rFonts w:asciiTheme="minorBidi" w:eastAsia="SimSun" w:hAnsiTheme="minorBidi" w:cstheme="minorBidi"/>
          <w:szCs w:val="24"/>
          <w:lang w:val="en-US" w:bidi="fa-IR"/>
        </w:rPr>
        <w:t>E.M..(</w:t>
      </w:r>
      <w:proofErr w:type="gramEnd"/>
      <w:r w:rsidRPr="0032057E">
        <w:rPr>
          <w:rFonts w:asciiTheme="minorBidi" w:eastAsia="SimSun" w:hAnsiTheme="minorBidi" w:cstheme="minorBidi"/>
          <w:szCs w:val="24"/>
          <w:lang w:val="en-US" w:bidi="fa-IR"/>
        </w:rPr>
        <w:t xml:space="preserve">2020). The relationship between Sustainable Development Goals and migration. </w:t>
      </w:r>
      <w:proofErr w:type="spellStart"/>
      <w:r w:rsidRPr="00B97121">
        <w:rPr>
          <w:rFonts w:asciiTheme="minorBidi" w:eastAsia="SimSun" w:hAnsiTheme="minorBidi" w:cstheme="minorBidi"/>
          <w:szCs w:val="24"/>
          <w:lang w:bidi="fa-IR"/>
        </w:rPr>
        <w:t>An</w:t>
      </w:r>
      <w:proofErr w:type="spellEnd"/>
      <w:r w:rsidRPr="00B97121">
        <w:rPr>
          <w:rFonts w:asciiTheme="minorBidi" w:eastAsia="SimSun" w:hAnsiTheme="minorBidi" w:cstheme="minorBidi"/>
          <w:szCs w:val="24"/>
          <w:lang w:bidi="fa-IR"/>
        </w:rPr>
        <w:t xml:space="preserve"> EU-28 </w:t>
      </w:r>
      <w:proofErr w:type="spellStart"/>
      <w:r w:rsidRPr="00B97121">
        <w:rPr>
          <w:rFonts w:asciiTheme="minorBidi" w:eastAsia="SimSun" w:hAnsiTheme="minorBidi" w:cstheme="minorBidi"/>
          <w:szCs w:val="24"/>
          <w:lang w:bidi="fa-IR"/>
        </w:rPr>
        <w:t>perspective</w:t>
      </w:r>
      <w:proofErr w:type="spellEnd"/>
      <w:r w:rsidRPr="00B97121">
        <w:rPr>
          <w:rFonts w:asciiTheme="minorBidi" w:eastAsia="SimSun" w:hAnsiTheme="minorBidi" w:cstheme="minorBidi"/>
          <w:szCs w:val="24"/>
          <w:lang w:bidi="fa-IR"/>
        </w:rPr>
        <w:t xml:space="preserve">, </w:t>
      </w:r>
      <w:proofErr w:type="spellStart"/>
      <w:r w:rsidRPr="00B97121">
        <w:rPr>
          <w:rFonts w:asciiTheme="minorBidi" w:eastAsia="SimSun" w:hAnsiTheme="minorBidi" w:cstheme="minorBidi"/>
          <w:szCs w:val="24"/>
          <w:lang w:bidi="fa-IR"/>
        </w:rPr>
        <w:t>Journal</w:t>
      </w:r>
      <w:proofErr w:type="spellEnd"/>
      <w:r w:rsidRPr="00B97121">
        <w:rPr>
          <w:rFonts w:asciiTheme="minorBidi" w:eastAsia="SimSun" w:hAnsiTheme="minorBidi" w:cstheme="minorBidi"/>
          <w:szCs w:val="24"/>
          <w:lang w:bidi="fa-IR"/>
        </w:rPr>
        <w:t xml:space="preserve"> </w:t>
      </w:r>
      <w:proofErr w:type="spellStart"/>
      <w:r w:rsidRPr="00B97121">
        <w:rPr>
          <w:rFonts w:asciiTheme="minorBidi" w:eastAsia="SimSun" w:hAnsiTheme="minorBidi" w:cstheme="minorBidi"/>
          <w:szCs w:val="24"/>
          <w:lang w:bidi="fa-IR"/>
        </w:rPr>
        <w:t>of</w:t>
      </w:r>
      <w:proofErr w:type="spellEnd"/>
      <w:r w:rsidRPr="00B97121">
        <w:rPr>
          <w:rFonts w:asciiTheme="minorBidi" w:eastAsia="SimSun" w:hAnsiTheme="minorBidi" w:cstheme="minorBidi"/>
          <w:szCs w:val="24"/>
          <w:lang w:bidi="fa-IR"/>
        </w:rPr>
        <w:t xml:space="preserve"> Social and </w:t>
      </w:r>
      <w:proofErr w:type="spellStart"/>
      <w:r w:rsidRPr="00B97121">
        <w:rPr>
          <w:rFonts w:asciiTheme="minorBidi" w:eastAsia="SimSun" w:hAnsiTheme="minorBidi" w:cstheme="minorBidi"/>
          <w:szCs w:val="24"/>
          <w:lang w:bidi="fa-IR"/>
        </w:rPr>
        <w:t>Economic</w:t>
      </w:r>
      <w:proofErr w:type="spellEnd"/>
      <w:r w:rsidRPr="00B97121">
        <w:rPr>
          <w:rFonts w:asciiTheme="minorBidi" w:eastAsia="SimSun" w:hAnsiTheme="minorBidi" w:cstheme="minorBidi"/>
          <w:szCs w:val="24"/>
          <w:lang w:bidi="fa-IR"/>
        </w:rPr>
        <w:t xml:space="preserve"> </w:t>
      </w:r>
      <w:proofErr w:type="spellStart"/>
      <w:r w:rsidRPr="00B97121">
        <w:rPr>
          <w:rFonts w:asciiTheme="minorBidi" w:eastAsia="SimSun" w:hAnsiTheme="minorBidi" w:cstheme="minorBidi"/>
          <w:szCs w:val="24"/>
          <w:lang w:bidi="fa-IR"/>
        </w:rPr>
        <w:t>Statistics</w:t>
      </w:r>
      <w:proofErr w:type="spellEnd"/>
      <w:r w:rsidRPr="00B97121">
        <w:rPr>
          <w:rFonts w:asciiTheme="minorBidi" w:eastAsia="SimSun" w:hAnsiTheme="minorBidi" w:cstheme="minorBidi"/>
          <w:szCs w:val="24"/>
          <w:lang w:bidi="fa-IR"/>
        </w:rPr>
        <w:t>, 9, 28-45.</w:t>
      </w:r>
    </w:p>
    <w:p w14:paraId="641F3D96" w14:textId="77777777" w:rsidR="0032057E" w:rsidRPr="0032057E" w:rsidRDefault="0032057E" w:rsidP="0032057E">
      <w:pPr>
        <w:numPr>
          <w:ilvl w:val="0"/>
          <w:numId w:val="49"/>
        </w:numPr>
        <w:spacing w:after="200" w:line="360" w:lineRule="auto"/>
        <w:contextualSpacing/>
        <w:rPr>
          <w:rFonts w:asciiTheme="minorBidi" w:eastAsia="SimSun" w:hAnsiTheme="minorBidi" w:cstheme="minorBidi"/>
          <w:szCs w:val="24"/>
          <w:lang w:val="en-US" w:bidi="fa-IR"/>
        </w:rPr>
      </w:pPr>
      <w:r w:rsidRPr="0032057E">
        <w:rPr>
          <w:rFonts w:asciiTheme="minorBidi" w:eastAsia="SimSun" w:hAnsiTheme="minorBidi" w:cstheme="minorBidi"/>
          <w:szCs w:val="24"/>
          <w:lang w:val="en-US" w:bidi="fa-IR"/>
        </w:rPr>
        <w:t xml:space="preserve">United Nations. (n.d.). Interlinked nature of the Sustainable Development Goals. Retrieved from:   </w:t>
      </w:r>
      <w:proofErr w:type="gramStart"/>
      <w:r w:rsidRPr="0032057E">
        <w:rPr>
          <w:rFonts w:asciiTheme="minorBidi" w:eastAsia="SimSun" w:hAnsiTheme="minorBidi" w:cstheme="minorBidi"/>
          <w:szCs w:val="24"/>
          <w:lang w:val="en-US" w:bidi="fa-IR"/>
        </w:rPr>
        <w:t>https://www.un.org/sustainabledevelopment/sustainable-development-goals/</w:t>
      </w:r>
      <w:proofErr w:type="gramEnd"/>
      <w:r w:rsidRPr="0032057E">
        <w:rPr>
          <w:rFonts w:asciiTheme="minorBidi" w:eastAsia="SimSun" w:hAnsiTheme="minorBidi" w:cstheme="minorBidi"/>
          <w:szCs w:val="24"/>
          <w:lang w:val="en-US" w:bidi="fa-IR"/>
        </w:rPr>
        <w:t xml:space="preserve">  </w:t>
      </w:r>
    </w:p>
    <w:p w14:paraId="1D8AA1E6" w14:textId="77777777" w:rsidR="0032057E" w:rsidRPr="0032057E" w:rsidRDefault="0032057E" w:rsidP="0032057E">
      <w:pPr>
        <w:numPr>
          <w:ilvl w:val="0"/>
          <w:numId w:val="49"/>
        </w:numPr>
        <w:spacing w:after="200" w:line="360" w:lineRule="auto"/>
        <w:contextualSpacing/>
        <w:rPr>
          <w:rFonts w:asciiTheme="minorBidi" w:eastAsia="SimSun" w:hAnsiTheme="minorBidi" w:cstheme="minorBidi"/>
          <w:szCs w:val="24"/>
          <w:lang w:val="en-US" w:bidi="fa-IR"/>
        </w:rPr>
      </w:pPr>
      <w:r w:rsidRPr="0032057E">
        <w:rPr>
          <w:rFonts w:asciiTheme="minorBidi" w:eastAsia="SimSun" w:hAnsiTheme="minorBidi" w:cstheme="minorBidi"/>
          <w:szCs w:val="24"/>
          <w:lang w:val="en-US" w:bidi="fa-IR"/>
        </w:rPr>
        <w:t xml:space="preserve">United Nations. (2022). Progress towards the Sustainable Development Goals Report of the Secretary-General. Supplementary information. Retrieved from: </w:t>
      </w:r>
      <w:proofErr w:type="gramStart"/>
      <w:r w:rsidRPr="0032057E">
        <w:rPr>
          <w:rFonts w:asciiTheme="minorBidi" w:eastAsia="SimSun" w:hAnsiTheme="minorBidi" w:cstheme="minorBidi"/>
          <w:szCs w:val="24"/>
          <w:lang w:val="en-US" w:bidi="fa-IR"/>
        </w:rPr>
        <w:t>https://unstats.un.org/sdgs/files/report/2022/E_2022_55_Statistical_Annex_I_and_II.pdf</w:t>
      </w:r>
      <w:proofErr w:type="gramEnd"/>
      <w:r w:rsidRPr="0032057E">
        <w:rPr>
          <w:rFonts w:asciiTheme="minorBidi" w:eastAsia="SimSun" w:hAnsiTheme="minorBidi" w:cstheme="minorBidi"/>
          <w:szCs w:val="24"/>
          <w:lang w:val="en-US" w:bidi="fa-IR"/>
        </w:rPr>
        <w:t xml:space="preserve"> </w:t>
      </w:r>
    </w:p>
    <w:p w14:paraId="6A71B870" w14:textId="77777777" w:rsidR="0032057E" w:rsidRPr="0032057E" w:rsidRDefault="0032057E" w:rsidP="0032057E">
      <w:pPr>
        <w:numPr>
          <w:ilvl w:val="0"/>
          <w:numId w:val="49"/>
        </w:numPr>
        <w:spacing w:after="200" w:line="360" w:lineRule="auto"/>
        <w:contextualSpacing/>
        <w:rPr>
          <w:rFonts w:asciiTheme="minorBidi" w:eastAsia="SimSun" w:hAnsiTheme="minorBidi" w:cstheme="minorBidi"/>
          <w:szCs w:val="24"/>
          <w:lang w:val="en-US" w:bidi="fa-IR"/>
        </w:rPr>
      </w:pPr>
      <w:r w:rsidRPr="0032057E">
        <w:rPr>
          <w:rFonts w:asciiTheme="minorBidi" w:eastAsia="SimSun" w:hAnsiTheme="minorBidi" w:cstheme="minorBidi"/>
          <w:szCs w:val="24"/>
          <w:lang w:val="en-US" w:bidi="fa-IR"/>
        </w:rPr>
        <w:t xml:space="preserve">UNSD. (2018). SDG indicators global database. Retrieved from: </w:t>
      </w:r>
      <w:proofErr w:type="gramStart"/>
      <w:r w:rsidRPr="0032057E">
        <w:rPr>
          <w:rFonts w:asciiTheme="minorBidi" w:eastAsia="SimSun" w:hAnsiTheme="minorBidi" w:cstheme="minorBidi"/>
          <w:szCs w:val="24"/>
          <w:lang w:val="en-US" w:bidi="fa-IR"/>
        </w:rPr>
        <w:t>https://unstats.un.org/sdgs/indicators/database/</w:t>
      </w:r>
      <w:proofErr w:type="gramEnd"/>
      <w:r w:rsidRPr="0032057E">
        <w:rPr>
          <w:rFonts w:asciiTheme="minorBidi" w:eastAsia="SimSun" w:hAnsiTheme="minorBidi" w:cstheme="minorBidi"/>
          <w:szCs w:val="24"/>
          <w:lang w:val="en-US" w:bidi="fa-IR"/>
        </w:rPr>
        <w:t xml:space="preserve"> </w:t>
      </w:r>
    </w:p>
    <w:p w14:paraId="27BD9042" w14:textId="77777777" w:rsidR="0032057E" w:rsidRPr="008869DD" w:rsidRDefault="0032057E" w:rsidP="0032057E">
      <w:pPr>
        <w:tabs>
          <w:tab w:val="left" w:pos="1170"/>
        </w:tabs>
        <w:spacing w:line="360" w:lineRule="auto"/>
        <w:rPr>
          <w:rFonts w:asciiTheme="minorBidi" w:eastAsia="SimSun" w:hAnsiTheme="minorBidi" w:cstheme="minorBidi"/>
          <w:szCs w:val="24"/>
          <w:rtl/>
          <w:lang w:bidi="fa-IR"/>
        </w:rPr>
      </w:pPr>
    </w:p>
    <w:p w14:paraId="082D9E34" w14:textId="77777777" w:rsidR="00035892" w:rsidRDefault="00035892" w:rsidP="00F8642A">
      <w:pPr>
        <w:ind w:right="57"/>
        <w:rPr>
          <w:rFonts w:cs="Arial"/>
          <w:b/>
          <w:szCs w:val="24"/>
          <w:lang w:val="en-US" w:bidi="fa-IR"/>
        </w:rPr>
      </w:pPr>
    </w:p>
    <w:sectPr w:rsidR="00035892" w:rsidSect="00DB588A">
      <w:headerReference w:type="default" r:id="rId20"/>
      <w:pgSz w:w="12240" w:h="15840" w:code="1"/>
      <w:pgMar w:top="1418" w:right="1418" w:bottom="1418" w:left="1418" w:header="709" w:footer="709" w:gutter="0"/>
      <w:pgNumType w:start="1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127C" w14:textId="77777777" w:rsidR="00104A44" w:rsidRDefault="00104A44" w:rsidP="00A8514D">
      <w:r>
        <w:separator/>
      </w:r>
    </w:p>
  </w:endnote>
  <w:endnote w:type="continuationSeparator" w:id="0">
    <w:p w14:paraId="7097FE93" w14:textId="77777777" w:rsidR="00104A44" w:rsidRDefault="00104A44" w:rsidP="00A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Noto Sans CJK SC">
    <w:charset w:val="00"/>
    <w:family w:val="auto"/>
    <w:pitch w:val="variable"/>
  </w:font>
  <w:font w:name="Droid Sans Devanagari">
    <w:altName w:val="Times New Roman"/>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B Zar">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A2C0" w14:textId="77777777" w:rsidR="00104A44" w:rsidRDefault="00104A44" w:rsidP="00A8514D">
      <w:r>
        <w:separator/>
      </w:r>
    </w:p>
  </w:footnote>
  <w:footnote w:type="continuationSeparator" w:id="0">
    <w:p w14:paraId="3EE8E80C" w14:textId="77777777" w:rsidR="00104A44" w:rsidRDefault="00104A44" w:rsidP="00A8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sz w:val="16"/>
        <w:szCs w:val="24"/>
      </w:rPr>
      <w:id w:val="-1613348640"/>
      <w:docPartObj>
        <w:docPartGallery w:val="Page Numbers (Margins)"/>
        <w:docPartUnique/>
      </w:docPartObj>
    </w:sdtPr>
    <w:sdtEndPr/>
    <w:sdtContent>
      <w:p w14:paraId="48A491FD" w14:textId="054AF3DD" w:rsidR="00104A44" w:rsidRPr="00CD4DF6" w:rsidRDefault="00E1701F" w:rsidP="00552C60">
        <w:pPr>
          <w:jc w:val="center"/>
          <w:rPr>
            <w:rFonts w:cs="Arial"/>
            <w:i/>
            <w:sz w:val="16"/>
            <w:szCs w:val="24"/>
          </w:rPr>
        </w:pPr>
      </w:p>
    </w:sdtContent>
  </w:sdt>
  <w:p w14:paraId="6C816D60" w14:textId="277A2ABF" w:rsidR="00104A44" w:rsidRPr="00D23435" w:rsidRDefault="00035892" w:rsidP="00D23435">
    <w:pPr>
      <w:spacing w:line="360" w:lineRule="auto"/>
      <w:ind w:right="142"/>
      <w:jc w:val="center"/>
      <w:rPr>
        <w:rFonts w:eastAsia="Arial" w:cs="Arial"/>
        <w:szCs w:val="24"/>
        <w:lang w:val="es-PE"/>
      </w:rPr>
    </w:pPr>
    <w:r w:rsidRPr="002F2AA6">
      <w:rPr>
        <w:rFonts w:cs="Arial"/>
        <w:i/>
        <w:noProof/>
        <w:sz w:val="16"/>
        <w:szCs w:val="24"/>
      </w:rPr>
      <mc:AlternateContent>
        <mc:Choice Requires="wps">
          <w:drawing>
            <wp:anchor distT="0" distB="0" distL="114300" distR="114300" simplePos="0" relativeHeight="251659264" behindDoc="0" locked="0" layoutInCell="0" allowOverlap="1" wp14:anchorId="256E476C" wp14:editId="14C6A37A">
              <wp:simplePos x="0" y="0"/>
              <wp:positionH relativeFrom="rightMargin">
                <wp:align>left</wp:align>
              </wp:positionH>
              <wp:positionV relativeFrom="margin">
                <wp:posOffset>826012</wp:posOffset>
              </wp:positionV>
              <wp:extent cx="897065" cy="433705"/>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0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56E476C" id="Rectángulo 33" o:spid="_x0000_s1026" style="position:absolute;left:0;text-align:left;margin-left:0;margin-top:65.05pt;width:70.65pt;height:34.1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" o:allowincell="f" stroked="f">
              <v:textbox style="mso-fit-shape-to-text:t" inset="0,,0">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r w:rsidR="00104A44">
      <w:rPr>
        <w:rFonts w:cs="Arial"/>
        <w:bCs/>
        <w:i/>
        <w:sz w:val="20"/>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C39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3116"/>
    <w:multiLevelType w:val="hybridMultilevel"/>
    <w:tmpl w:val="8AC0939C"/>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52C05E9"/>
    <w:multiLevelType w:val="multilevel"/>
    <w:tmpl w:val="B5680612"/>
    <w:lvl w:ilvl="0">
      <w:start w:val="1"/>
      <w:numFmt w:val="decimal"/>
      <w:pStyle w:val="Tab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C145E"/>
    <w:multiLevelType w:val="multilevel"/>
    <w:tmpl w:val="253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019D4"/>
    <w:multiLevelType w:val="hybridMultilevel"/>
    <w:tmpl w:val="19F07DC2"/>
    <w:lvl w:ilvl="0" w:tplc="0382E6F6">
      <w:start w:val="1"/>
      <w:numFmt w:val="decimal"/>
      <w:lvlText w:val="Tabla %1."/>
      <w:lvlJc w:val="left"/>
      <w:pPr>
        <w:ind w:left="502" w:hanging="360"/>
      </w:pPr>
      <w:rPr>
        <w:rFonts w:hint="default"/>
      </w:rPr>
    </w:lvl>
    <w:lvl w:ilvl="1" w:tplc="4C0A0019" w:tentative="1">
      <w:start w:val="1"/>
      <w:numFmt w:val="lowerLetter"/>
      <w:lvlText w:val="%2."/>
      <w:lvlJc w:val="left"/>
      <w:pPr>
        <w:ind w:left="1222" w:hanging="360"/>
      </w:pPr>
    </w:lvl>
    <w:lvl w:ilvl="2" w:tplc="4C0A001B" w:tentative="1">
      <w:start w:val="1"/>
      <w:numFmt w:val="lowerRoman"/>
      <w:lvlText w:val="%3."/>
      <w:lvlJc w:val="right"/>
      <w:pPr>
        <w:ind w:left="1942" w:hanging="180"/>
      </w:pPr>
    </w:lvl>
    <w:lvl w:ilvl="3" w:tplc="4C0A000F" w:tentative="1">
      <w:start w:val="1"/>
      <w:numFmt w:val="decimal"/>
      <w:lvlText w:val="%4."/>
      <w:lvlJc w:val="left"/>
      <w:pPr>
        <w:ind w:left="2662" w:hanging="360"/>
      </w:pPr>
    </w:lvl>
    <w:lvl w:ilvl="4" w:tplc="4C0A0019" w:tentative="1">
      <w:start w:val="1"/>
      <w:numFmt w:val="lowerLetter"/>
      <w:lvlText w:val="%5."/>
      <w:lvlJc w:val="left"/>
      <w:pPr>
        <w:ind w:left="3382" w:hanging="360"/>
      </w:pPr>
    </w:lvl>
    <w:lvl w:ilvl="5" w:tplc="4C0A001B" w:tentative="1">
      <w:start w:val="1"/>
      <w:numFmt w:val="lowerRoman"/>
      <w:lvlText w:val="%6."/>
      <w:lvlJc w:val="right"/>
      <w:pPr>
        <w:ind w:left="4102" w:hanging="180"/>
      </w:pPr>
    </w:lvl>
    <w:lvl w:ilvl="6" w:tplc="4C0A000F" w:tentative="1">
      <w:start w:val="1"/>
      <w:numFmt w:val="decimal"/>
      <w:lvlText w:val="%7."/>
      <w:lvlJc w:val="left"/>
      <w:pPr>
        <w:ind w:left="4822" w:hanging="360"/>
      </w:pPr>
    </w:lvl>
    <w:lvl w:ilvl="7" w:tplc="4C0A0019" w:tentative="1">
      <w:start w:val="1"/>
      <w:numFmt w:val="lowerLetter"/>
      <w:lvlText w:val="%8."/>
      <w:lvlJc w:val="left"/>
      <w:pPr>
        <w:ind w:left="5542" w:hanging="360"/>
      </w:pPr>
    </w:lvl>
    <w:lvl w:ilvl="8" w:tplc="4C0A001B" w:tentative="1">
      <w:start w:val="1"/>
      <w:numFmt w:val="lowerRoman"/>
      <w:lvlText w:val="%9."/>
      <w:lvlJc w:val="right"/>
      <w:pPr>
        <w:ind w:left="6262" w:hanging="180"/>
      </w:pPr>
    </w:lvl>
  </w:abstractNum>
  <w:abstractNum w:abstractNumId="5" w15:restartNumberingAfterBreak="0">
    <w:nsid w:val="0E3E1191"/>
    <w:multiLevelType w:val="hybridMultilevel"/>
    <w:tmpl w:val="556E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F15DC"/>
    <w:multiLevelType w:val="multilevel"/>
    <w:tmpl w:val="8C62042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1637D"/>
    <w:multiLevelType w:val="hybridMultilevel"/>
    <w:tmpl w:val="0FB27E58"/>
    <w:lvl w:ilvl="0" w:tplc="4C0A000F">
      <w:start w:val="1"/>
      <w:numFmt w:val="decimal"/>
      <w:lvlText w:val="%1."/>
      <w:lvlJc w:val="left"/>
      <w:pPr>
        <w:ind w:left="1140" w:hanging="7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DF7465"/>
    <w:multiLevelType w:val="hybridMultilevel"/>
    <w:tmpl w:val="5064858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071087"/>
    <w:multiLevelType w:val="hybridMultilevel"/>
    <w:tmpl w:val="7474E8DE"/>
    <w:lvl w:ilvl="0" w:tplc="240A000F">
      <w:start w:val="1"/>
      <w:numFmt w:val="decimal"/>
      <w:lvlText w:val="%1."/>
      <w:lvlJc w:val="left"/>
      <w:pPr>
        <w:ind w:left="2138" w:hanging="360"/>
      </w:pPr>
      <w:rPr>
        <w:rFont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0" w15:restartNumberingAfterBreak="0">
    <w:nsid w:val="19463D02"/>
    <w:multiLevelType w:val="hybridMultilevel"/>
    <w:tmpl w:val="A2CE3D3A"/>
    <w:lvl w:ilvl="0" w:tplc="C58C0954">
      <w:start w:val="1"/>
      <w:numFmt w:val="decimal"/>
      <w:lvlText w:val="Tabla %1."/>
      <w:lvlJc w:val="left"/>
      <w:pPr>
        <w:ind w:left="720" w:hanging="360"/>
      </w:pPr>
      <w:rPr>
        <w:rFonts w:ascii="Arial" w:hAnsi="Arial" w:hint="default"/>
        <w:sz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2049579E"/>
    <w:multiLevelType w:val="hybridMultilevel"/>
    <w:tmpl w:val="EC3A0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32654"/>
    <w:multiLevelType w:val="hybridMultilevel"/>
    <w:tmpl w:val="4C6C5274"/>
    <w:lvl w:ilvl="0" w:tplc="C8446A60">
      <w:start w:val="1"/>
      <w:numFmt w:val="decimal"/>
      <w:lvlText w:val="Tabla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4201F6A"/>
    <w:multiLevelType w:val="multilevel"/>
    <w:tmpl w:val="3A20376E"/>
    <w:lvl w:ilvl="0">
      <w:start w:val="1"/>
      <w:numFmt w:val="decimal"/>
      <w:lvlText w:val="%1."/>
      <w:lvlJc w:val="left"/>
      <w:pPr>
        <w:ind w:left="360" w:hanging="360"/>
      </w:p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304B7"/>
    <w:multiLevelType w:val="hybridMultilevel"/>
    <w:tmpl w:val="2362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271B5"/>
    <w:multiLevelType w:val="multilevel"/>
    <w:tmpl w:val="F4D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74395"/>
    <w:multiLevelType w:val="hybridMultilevel"/>
    <w:tmpl w:val="C1CC368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95B4A09"/>
    <w:multiLevelType w:val="hybridMultilevel"/>
    <w:tmpl w:val="1C626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FF325F"/>
    <w:multiLevelType w:val="hybridMultilevel"/>
    <w:tmpl w:val="4D4A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E533D"/>
    <w:multiLevelType w:val="hybridMultilevel"/>
    <w:tmpl w:val="3AC4FAAA"/>
    <w:lvl w:ilvl="0" w:tplc="03DEA6D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221691"/>
    <w:multiLevelType w:val="hybridMultilevel"/>
    <w:tmpl w:val="F9F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75C32"/>
    <w:multiLevelType w:val="hybridMultilevel"/>
    <w:tmpl w:val="52945F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A112A8"/>
    <w:multiLevelType w:val="hybridMultilevel"/>
    <w:tmpl w:val="5476B74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3E8837E0"/>
    <w:multiLevelType w:val="multilevel"/>
    <w:tmpl w:val="A09616A6"/>
    <w:lvl w:ilvl="0">
      <w:start w:val="1"/>
      <w:numFmt w:val="decimal"/>
      <w:pStyle w:val="Cuad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F210B6"/>
    <w:multiLevelType w:val="hybridMultilevel"/>
    <w:tmpl w:val="75D4AE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2B737E0"/>
    <w:multiLevelType w:val="hybridMultilevel"/>
    <w:tmpl w:val="A51226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61E2418"/>
    <w:multiLevelType w:val="hybridMultilevel"/>
    <w:tmpl w:val="E40E8734"/>
    <w:lvl w:ilvl="0" w:tplc="F6BC367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46F328CB"/>
    <w:multiLevelType w:val="hybridMultilevel"/>
    <w:tmpl w:val="4B88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A01C8"/>
    <w:multiLevelType w:val="hybridMultilevel"/>
    <w:tmpl w:val="64E298D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9" w15:restartNumberingAfterBreak="0">
    <w:nsid w:val="4F4C5B06"/>
    <w:multiLevelType w:val="hybridMultilevel"/>
    <w:tmpl w:val="B600A372"/>
    <w:lvl w:ilvl="0" w:tplc="F1222B9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0B57C44"/>
    <w:multiLevelType w:val="hybridMultilevel"/>
    <w:tmpl w:val="2F0AEA94"/>
    <w:lvl w:ilvl="0" w:tplc="240A0001">
      <w:start w:val="1"/>
      <w:numFmt w:val="bullet"/>
      <w:lvlText w:val=""/>
      <w:lvlJc w:val="left"/>
      <w:pPr>
        <w:tabs>
          <w:tab w:val="num" w:pos="720"/>
        </w:tabs>
        <w:ind w:left="720" w:hanging="360"/>
      </w:pPr>
      <w:rPr>
        <w:rFonts w:ascii="Symbol" w:hAnsi="Symbol" w:hint="default"/>
      </w:rPr>
    </w:lvl>
    <w:lvl w:ilvl="1" w:tplc="625A9090">
      <w:start w:val="1"/>
      <w:numFmt w:val="decimal"/>
      <w:lvlText w:val="%2."/>
      <w:lvlJc w:val="left"/>
      <w:pPr>
        <w:tabs>
          <w:tab w:val="num" w:pos="1440"/>
        </w:tabs>
        <w:ind w:left="1440" w:hanging="360"/>
      </w:pPr>
    </w:lvl>
    <w:lvl w:ilvl="2" w:tplc="6B1A352E">
      <w:start w:val="1"/>
      <w:numFmt w:val="decimal"/>
      <w:lvlText w:val="%3."/>
      <w:lvlJc w:val="left"/>
      <w:pPr>
        <w:tabs>
          <w:tab w:val="num" w:pos="2160"/>
        </w:tabs>
        <w:ind w:left="2160" w:hanging="360"/>
      </w:pPr>
    </w:lvl>
    <w:lvl w:ilvl="3" w:tplc="AF5E3694">
      <w:start w:val="1"/>
      <w:numFmt w:val="decimal"/>
      <w:lvlText w:val="%4."/>
      <w:lvlJc w:val="left"/>
      <w:pPr>
        <w:tabs>
          <w:tab w:val="num" w:pos="2880"/>
        </w:tabs>
        <w:ind w:left="2880" w:hanging="360"/>
      </w:pPr>
    </w:lvl>
    <w:lvl w:ilvl="4" w:tplc="3BAA62E8">
      <w:start w:val="1"/>
      <w:numFmt w:val="decimal"/>
      <w:lvlText w:val="%5."/>
      <w:lvlJc w:val="left"/>
      <w:pPr>
        <w:tabs>
          <w:tab w:val="num" w:pos="3600"/>
        </w:tabs>
        <w:ind w:left="3600" w:hanging="360"/>
      </w:pPr>
    </w:lvl>
    <w:lvl w:ilvl="5" w:tplc="BE180EC4">
      <w:start w:val="1"/>
      <w:numFmt w:val="decimal"/>
      <w:lvlText w:val="%6."/>
      <w:lvlJc w:val="left"/>
      <w:pPr>
        <w:tabs>
          <w:tab w:val="num" w:pos="4320"/>
        </w:tabs>
        <w:ind w:left="4320" w:hanging="360"/>
      </w:pPr>
    </w:lvl>
    <w:lvl w:ilvl="6" w:tplc="C5CA8424">
      <w:start w:val="1"/>
      <w:numFmt w:val="decimal"/>
      <w:lvlText w:val="%7."/>
      <w:lvlJc w:val="left"/>
      <w:pPr>
        <w:tabs>
          <w:tab w:val="num" w:pos="5040"/>
        </w:tabs>
        <w:ind w:left="5040" w:hanging="360"/>
      </w:pPr>
    </w:lvl>
    <w:lvl w:ilvl="7" w:tplc="C2BAE4BE">
      <w:start w:val="1"/>
      <w:numFmt w:val="decimal"/>
      <w:lvlText w:val="%8."/>
      <w:lvlJc w:val="left"/>
      <w:pPr>
        <w:tabs>
          <w:tab w:val="num" w:pos="5760"/>
        </w:tabs>
        <w:ind w:left="5760" w:hanging="360"/>
      </w:pPr>
    </w:lvl>
    <w:lvl w:ilvl="8" w:tplc="DFB81248">
      <w:start w:val="1"/>
      <w:numFmt w:val="decimal"/>
      <w:lvlText w:val="%9."/>
      <w:lvlJc w:val="left"/>
      <w:pPr>
        <w:tabs>
          <w:tab w:val="num" w:pos="6480"/>
        </w:tabs>
        <w:ind w:left="6480" w:hanging="360"/>
      </w:pPr>
    </w:lvl>
  </w:abstractNum>
  <w:abstractNum w:abstractNumId="31" w15:restartNumberingAfterBreak="0">
    <w:nsid w:val="515F6A38"/>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6F675F"/>
    <w:multiLevelType w:val="hybridMultilevel"/>
    <w:tmpl w:val="F2DECC7C"/>
    <w:lvl w:ilvl="0" w:tplc="39C824DE">
      <w:start w:val="1"/>
      <w:numFmt w:val="decimal"/>
      <w:lvlText w:val="Tabla %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3" w15:restartNumberingAfterBreak="0">
    <w:nsid w:val="52A4194D"/>
    <w:multiLevelType w:val="multilevel"/>
    <w:tmpl w:val="EFE00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I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DC180D"/>
    <w:multiLevelType w:val="hybridMultilevel"/>
    <w:tmpl w:val="D8DAC8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8697A13"/>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E31EA7"/>
    <w:multiLevelType w:val="hybridMultilevel"/>
    <w:tmpl w:val="3AA2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A2378"/>
    <w:multiLevelType w:val="hybridMultilevel"/>
    <w:tmpl w:val="FA3EC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D495F"/>
    <w:multiLevelType w:val="hybridMultilevel"/>
    <w:tmpl w:val="0710658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9" w15:restartNumberingAfterBreak="0">
    <w:nsid w:val="694410F7"/>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9884E46"/>
    <w:multiLevelType w:val="hybridMultilevel"/>
    <w:tmpl w:val="1A769ADE"/>
    <w:lvl w:ilvl="0" w:tplc="6A4AF90C">
      <w:start w:val="1"/>
      <w:numFmt w:val="decimal"/>
      <w:lvlText w:val="Cuadro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1" w15:restartNumberingAfterBreak="0">
    <w:nsid w:val="6C5F3CDB"/>
    <w:multiLevelType w:val="hybridMultilevel"/>
    <w:tmpl w:val="DCDA45BE"/>
    <w:lvl w:ilvl="0" w:tplc="E0C45E22">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2" w15:restartNumberingAfterBreak="0">
    <w:nsid w:val="73A14605"/>
    <w:multiLevelType w:val="hybridMultilevel"/>
    <w:tmpl w:val="32C2AD52"/>
    <w:lvl w:ilvl="0" w:tplc="92A2E17A">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2002B"/>
    <w:multiLevelType w:val="hybridMultilevel"/>
    <w:tmpl w:val="47A2836C"/>
    <w:lvl w:ilvl="0" w:tplc="58D0B63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5B3241E"/>
    <w:multiLevelType w:val="hybridMultilevel"/>
    <w:tmpl w:val="11843A82"/>
    <w:lvl w:ilvl="0" w:tplc="7B40D954">
      <w:start w:val="1"/>
      <w:numFmt w:val="decimal"/>
      <w:lvlText w:val="[%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A7EA9"/>
    <w:multiLevelType w:val="hybridMultilevel"/>
    <w:tmpl w:val="BFD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D76FD"/>
    <w:multiLevelType w:val="hybridMultilevel"/>
    <w:tmpl w:val="26B68A8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7" w15:restartNumberingAfterBreak="0">
    <w:nsid w:val="7E597FC2"/>
    <w:multiLevelType w:val="hybridMultilevel"/>
    <w:tmpl w:val="C4DE0540"/>
    <w:lvl w:ilvl="0" w:tplc="20CECE3A">
      <w:start w:val="1"/>
      <w:numFmt w:val="decimal"/>
      <w:lvlText w:val="Tabla %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723022336">
    <w:abstractNumId w:val="47"/>
  </w:num>
  <w:num w:numId="2" w16cid:durableId="1036274268">
    <w:abstractNumId w:val="47"/>
  </w:num>
  <w:num w:numId="3" w16cid:durableId="1559320217">
    <w:abstractNumId w:val="4"/>
  </w:num>
  <w:num w:numId="4" w16cid:durableId="1341658918">
    <w:abstractNumId w:val="40"/>
  </w:num>
  <w:num w:numId="5" w16cid:durableId="585458753">
    <w:abstractNumId w:val="23"/>
  </w:num>
  <w:num w:numId="6" w16cid:durableId="1582986654">
    <w:abstractNumId w:val="12"/>
  </w:num>
  <w:num w:numId="7" w16cid:durableId="1846893359">
    <w:abstractNumId w:val="32"/>
  </w:num>
  <w:num w:numId="8" w16cid:durableId="1431272729">
    <w:abstractNumId w:val="10"/>
  </w:num>
  <w:num w:numId="9" w16cid:durableId="82455280">
    <w:abstractNumId w:val="10"/>
  </w:num>
  <w:num w:numId="10" w16cid:durableId="919217212">
    <w:abstractNumId w:val="2"/>
  </w:num>
  <w:num w:numId="11" w16cid:durableId="1708990882">
    <w:abstractNumId w:val="38"/>
  </w:num>
  <w:num w:numId="12" w16cid:durableId="1674645581">
    <w:abstractNumId w:val="44"/>
  </w:num>
  <w:num w:numId="13" w16cid:durableId="1788701271">
    <w:abstractNumId w:val="0"/>
  </w:num>
  <w:num w:numId="14" w16cid:durableId="1369067640">
    <w:abstractNumId w:val="6"/>
  </w:num>
  <w:num w:numId="15" w16cid:durableId="1591544599">
    <w:abstractNumId w:val="9"/>
  </w:num>
  <w:num w:numId="16" w16cid:durableId="1604455682">
    <w:abstractNumId w:val="11"/>
  </w:num>
  <w:num w:numId="17" w16cid:durableId="1129779271">
    <w:abstractNumId w:val="30"/>
  </w:num>
  <w:num w:numId="18" w16cid:durableId="1270893137">
    <w:abstractNumId w:val="17"/>
  </w:num>
  <w:num w:numId="19" w16cid:durableId="1821387763">
    <w:abstractNumId w:val="26"/>
  </w:num>
  <w:num w:numId="20" w16cid:durableId="584846002">
    <w:abstractNumId w:val="31"/>
  </w:num>
  <w:num w:numId="21" w16cid:durableId="178617168">
    <w:abstractNumId w:val="39"/>
  </w:num>
  <w:num w:numId="22" w16cid:durableId="1887254847">
    <w:abstractNumId w:val="35"/>
  </w:num>
  <w:num w:numId="23" w16cid:durableId="1539008109">
    <w:abstractNumId w:val="22"/>
  </w:num>
  <w:num w:numId="24" w16cid:durableId="1829786539">
    <w:abstractNumId w:val="25"/>
  </w:num>
  <w:num w:numId="25" w16cid:durableId="1189102641">
    <w:abstractNumId w:val="8"/>
  </w:num>
  <w:num w:numId="26" w16cid:durableId="540047979">
    <w:abstractNumId w:val="46"/>
  </w:num>
  <w:num w:numId="27" w16cid:durableId="535386652">
    <w:abstractNumId w:val="28"/>
  </w:num>
  <w:num w:numId="28" w16cid:durableId="874850987">
    <w:abstractNumId w:val="33"/>
  </w:num>
  <w:num w:numId="29" w16cid:durableId="1437558162">
    <w:abstractNumId w:val="13"/>
  </w:num>
  <w:num w:numId="30" w16cid:durableId="874538178">
    <w:abstractNumId w:val="43"/>
  </w:num>
  <w:num w:numId="31" w16cid:durableId="1154759893">
    <w:abstractNumId w:val="21"/>
  </w:num>
  <w:num w:numId="32" w16cid:durableId="39519220">
    <w:abstractNumId w:val="29"/>
  </w:num>
  <w:num w:numId="33" w16cid:durableId="263420359">
    <w:abstractNumId w:val="34"/>
  </w:num>
  <w:num w:numId="34" w16cid:durableId="2120562523">
    <w:abstractNumId w:val="7"/>
  </w:num>
  <w:num w:numId="35" w16cid:durableId="933051817">
    <w:abstractNumId w:val="41"/>
  </w:num>
  <w:num w:numId="36" w16cid:durableId="1113941180">
    <w:abstractNumId w:val="16"/>
  </w:num>
  <w:num w:numId="37" w16cid:durableId="323124028">
    <w:abstractNumId w:val="24"/>
  </w:num>
  <w:num w:numId="38" w16cid:durableId="666907746">
    <w:abstractNumId w:val="15"/>
  </w:num>
  <w:num w:numId="39" w16cid:durableId="1220437679">
    <w:abstractNumId w:val="3"/>
  </w:num>
  <w:num w:numId="40" w16cid:durableId="99879904">
    <w:abstractNumId w:val="1"/>
  </w:num>
  <w:num w:numId="41" w16cid:durableId="25912527">
    <w:abstractNumId w:val="19"/>
  </w:num>
  <w:num w:numId="42" w16cid:durableId="437218363">
    <w:abstractNumId w:val="45"/>
  </w:num>
  <w:num w:numId="43" w16cid:durableId="367068392">
    <w:abstractNumId w:val="36"/>
  </w:num>
  <w:num w:numId="44" w16cid:durableId="1506363585">
    <w:abstractNumId w:val="20"/>
  </w:num>
  <w:num w:numId="45" w16cid:durableId="1038773571">
    <w:abstractNumId w:val="27"/>
  </w:num>
  <w:num w:numId="46" w16cid:durableId="1699424699">
    <w:abstractNumId w:val="5"/>
  </w:num>
  <w:num w:numId="47" w16cid:durableId="641740589">
    <w:abstractNumId w:val="18"/>
  </w:num>
  <w:num w:numId="48" w16cid:durableId="2080863592">
    <w:abstractNumId w:val="14"/>
  </w:num>
  <w:num w:numId="49" w16cid:durableId="1621298227">
    <w:abstractNumId w:val="42"/>
  </w:num>
  <w:num w:numId="50" w16cid:durableId="125463135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PE" w:vendorID="64" w:dllVersion="6" w:nlCheck="1" w:checkStyle="1"/>
  <w:activeWritingStyle w:appName="MSWord" w:lang="en-US" w:vendorID="64" w:dllVersion="6" w:nlCheck="1" w:checkStyle="0"/>
  <w:activeWritingStyle w:appName="MSWord" w:lang="es-NI"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es-CR" w:vendorID="64" w:dllVersion="6" w:nlCheck="1" w:checkStyle="1"/>
  <w:activeWritingStyle w:appName="MSWord" w:lang="es-VE" w:vendorID="64" w:dllVersion="6" w:nlCheck="1" w:checkStyle="1"/>
  <w:activeWritingStyle w:appName="MSWord" w:lang="es-EC" w:vendorID="64" w:dllVersion="6" w:nlCheck="1" w:checkStyle="1"/>
  <w:activeWritingStyle w:appName="MSWord" w:lang="es-PA"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NI"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NI"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9"/>
    <w:rsid w:val="000207A6"/>
    <w:rsid w:val="00022166"/>
    <w:rsid w:val="00030043"/>
    <w:rsid w:val="0003034D"/>
    <w:rsid w:val="00030DF4"/>
    <w:rsid w:val="00035892"/>
    <w:rsid w:val="0005347A"/>
    <w:rsid w:val="00067F5B"/>
    <w:rsid w:val="00086FCA"/>
    <w:rsid w:val="00095E2A"/>
    <w:rsid w:val="000C29D1"/>
    <w:rsid w:val="000C442E"/>
    <w:rsid w:val="000C6524"/>
    <w:rsid w:val="000E4F8B"/>
    <w:rsid w:val="000F0775"/>
    <w:rsid w:val="000F0B3F"/>
    <w:rsid w:val="000F42EA"/>
    <w:rsid w:val="00104A44"/>
    <w:rsid w:val="00132FF1"/>
    <w:rsid w:val="0013331A"/>
    <w:rsid w:val="001678AB"/>
    <w:rsid w:val="001707E8"/>
    <w:rsid w:val="00175AEE"/>
    <w:rsid w:val="00175B67"/>
    <w:rsid w:val="00196BD9"/>
    <w:rsid w:val="001A311D"/>
    <w:rsid w:val="001C2FE3"/>
    <w:rsid w:val="001D4274"/>
    <w:rsid w:val="001D5E0E"/>
    <w:rsid w:val="001D7C7B"/>
    <w:rsid w:val="001D7F47"/>
    <w:rsid w:val="001E3538"/>
    <w:rsid w:val="001F0083"/>
    <w:rsid w:val="001F0C9C"/>
    <w:rsid w:val="001F6752"/>
    <w:rsid w:val="002078C1"/>
    <w:rsid w:val="0021150D"/>
    <w:rsid w:val="002123F6"/>
    <w:rsid w:val="00213938"/>
    <w:rsid w:val="00232AEE"/>
    <w:rsid w:val="00232C04"/>
    <w:rsid w:val="00240C17"/>
    <w:rsid w:val="00246492"/>
    <w:rsid w:val="00253825"/>
    <w:rsid w:val="00255396"/>
    <w:rsid w:val="002570A9"/>
    <w:rsid w:val="00262167"/>
    <w:rsid w:val="0026690D"/>
    <w:rsid w:val="00271F3D"/>
    <w:rsid w:val="00277CC1"/>
    <w:rsid w:val="002824C1"/>
    <w:rsid w:val="00286965"/>
    <w:rsid w:val="00295231"/>
    <w:rsid w:val="00297EE8"/>
    <w:rsid w:val="002A4E6B"/>
    <w:rsid w:val="002B3754"/>
    <w:rsid w:val="002C01C6"/>
    <w:rsid w:val="002C10B2"/>
    <w:rsid w:val="002C3361"/>
    <w:rsid w:val="002C4B91"/>
    <w:rsid w:val="002D0EDB"/>
    <w:rsid w:val="002D0F00"/>
    <w:rsid w:val="002D2A6E"/>
    <w:rsid w:val="002E56E8"/>
    <w:rsid w:val="002F24EB"/>
    <w:rsid w:val="002F2AA6"/>
    <w:rsid w:val="002F332B"/>
    <w:rsid w:val="002F4FE4"/>
    <w:rsid w:val="002F5C84"/>
    <w:rsid w:val="00311C78"/>
    <w:rsid w:val="00313578"/>
    <w:rsid w:val="00316885"/>
    <w:rsid w:val="0032057E"/>
    <w:rsid w:val="00321484"/>
    <w:rsid w:val="00335177"/>
    <w:rsid w:val="00351D1D"/>
    <w:rsid w:val="00361078"/>
    <w:rsid w:val="00364239"/>
    <w:rsid w:val="003759E7"/>
    <w:rsid w:val="00377462"/>
    <w:rsid w:val="003845B4"/>
    <w:rsid w:val="00387366"/>
    <w:rsid w:val="00394A3D"/>
    <w:rsid w:val="00395164"/>
    <w:rsid w:val="003A05E7"/>
    <w:rsid w:val="003A1548"/>
    <w:rsid w:val="003A528E"/>
    <w:rsid w:val="003A63D8"/>
    <w:rsid w:val="003B2C53"/>
    <w:rsid w:val="003B3AEA"/>
    <w:rsid w:val="003B3F76"/>
    <w:rsid w:val="003C7AB1"/>
    <w:rsid w:val="003D36A7"/>
    <w:rsid w:val="003E6A04"/>
    <w:rsid w:val="003F3386"/>
    <w:rsid w:val="003F5E67"/>
    <w:rsid w:val="003F63B9"/>
    <w:rsid w:val="00403778"/>
    <w:rsid w:val="004171D0"/>
    <w:rsid w:val="004205E6"/>
    <w:rsid w:val="00420F3E"/>
    <w:rsid w:val="00426340"/>
    <w:rsid w:val="004300D2"/>
    <w:rsid w:val="004340EE"/>
    <w:rsid w:val="004418B3"/>
    <w:rsid w:val="00462901"/>
    <w:rsid w:val="00466254"/>
    <w:rsid w:val="0048636C"/>
    <w:rsid w:val="00487B22"/>
    <w:rsid w:val="00487F4E"/>
    <w:rsid w:val="00491819"/>
    <w:rsid w:val="00494EEE"/>
    <w:rsid w:val="004958C0"/>
    <w:rsid w:val="004A5219"/>
    <w:rsid w:val="004B0DFE"/>
    <w:rsid w:val="004B2526"/>
    <w:rsid w:val="004B50F8"/>
    <w:rsid w:val="004C3874"/>
    <w:rsid w:val="004D3B4A"/>
    <w:rsid w:val="004D66CF"/>
    <w:rsid w:val="004D71BA"/>
    <w:rsid w:val="004E62D3"/>
    <w:rsid w:val="004F54CA"/>
    <w:rsid w:val="00507DC6"/>
    <w:rsid w:val="0051424C"/>
    <w:rsid w:val="00524F17"/>
    <w:rsid w:val="00540B17"/>
    <w:rsid w:val="00544303"/>
    <w:rsid w:val="00552C60"/>
    <w:rsid w:val="00565BD9"/>
    <w:rsid w:val="00565F2E"/>
    <w:rsid w:val="00567051"/>
    <w:rsid w:val="005733BE"/>
    <w:rsid w:val="00576231"/>
    <w:rsid w:val="005779FA"/>
    <w:rsid w:val="00580B4A"/>
    <w:rsid w:val="00581539"/>
    <w:rsid w:val="00594226"/>
    <w:rsid w:val="005C22CF"/>
    <w:rsid w:val="005C5658"/>
    <w:rsid w:val="005D507C"/>
    <w:rsid w:val="005E36CF"/>
    <w:rsid w:val="005F79FB"/>
    <w:rsid w:val="006122B6"/>
    <w:rsid w:val="00613E20"/>
    <w:rsid w:val="00626399"/>
    <w:rsid w:val="006374A7"/>
    <w:rsid w:val="00661FA7"/>
    <w:rsid w:val="00664311"/>
    <w:rsid w:val="00667695"/>
    <w:rsid w:val="00672226"/>
    <w:rsid w:val="006738DA"/>
    <w:rsid w:val="00675209"/>
    <w:rsid w:val="006771ED"/>
    <w:rsid w:val="006808B1"/>
    <w:rsid w:val="00693419"/>
    <w:rsid w:val="00695828"/>
    <w:rsid w:val="006967FE"/>
    <w:rsid w:val="006969F6"/>
    <w:rsid w:val="00697033"/>
    <w:rsid w:val="006A13D5"/>
    <w:rsid w:val="006A35A2"/>
    <w:rsid w:val="006C467B"/>
    <w:rsid w:val="006D25F6"/>
    <w:rsid w:val="006E08C8"/>
    <w:rsid w:val="006E3092"/>
    <w:rsid w:val="00701C1F"/>
    <w:rsid w:val="00710716"/>
    <w:rsid w:val="00712CA3"/>
    <w:rsid w:val="0072387D"/>
    <w:rsid w:val="00727F3C"/>
    <w:rsid w:val="007326AC"/>
    <w:rsid w:val="00732C38"/>
    <w:rsid w:val="00735EE4"/>
    <w:rsid w:val="007376FD"/>
    <w:rsid w:val="00742036"/>
    <w:rsid w:val="00753C18"/>
    <w:rsid w:val="00777833"/>
    <w:rsid w:val="0079700A"/>
    <w:rsid w:val="007A6E31"/>
    <w:rsid w:val="007C27CD"/>
    <w:rsid w:val="007D2C3F"/>
    <w:rsid w:val="007E5A00"/>
    <w:rsid w:val="007F5FCF"/>
    <w:rsid w:val="008001BD"/>
    <w:rsid w:val="00804B01"/>
    <w:rsid w:val="008278C2"/>
    <w:rsid w:val="00844802"/>
    <w:rsid w:val="008516B8"/>
    <w:rsid w:val="008607B9"/>
    <w:rsid w:val="0086516D"/>
    <w:rsid w:val="00872D90"/>
    <w:rsid w:val="008812AC"/>
    <w:rsid w:val="00885500"/>
    <w:rsid w:val="00886589"/>
    <w:rsid w:val="00890872"/>
    <w:rsid w:val="008A0B89"/>
    <w:rsid w:val="008A66FE"/>
    <w:rsid w:val="008B0BFE"/>
    <w:rsid w:val="008C71A4"/>
    <w:rsid w:val="008D20B1"/>
    <w:rsid w:val="008E3764"/>
    <w:rsid w:val="008E777B"/>
    <w:rsid w:val="009007A8"/>
    <w:rsid w:val="00903741"/>
    <w:rsid w:val="009054B7"/>
    <w:rsid w:val="00905BEA"/>
    <w:rsid w:val="00920FB1"/>
    <w:rsid w:val="009428C1"/>
    <w:rsid w:val="00950DFA"/>
    <w:rsid w:val="00956F8A"/>
    <w:rsid w:val="00961FEE"/>
    <w:rsid w:val="009646D9"/>
    <w:rsid w:val="00976C4A"/>
    <w:rsid w:val="00980985"/>
    <w:rsid w:val="009925F3"/>
    <w:rsid w:val="009936C1"/>
    <w:rsid w:val="00994611"/>
    <w:rsid w:val="00994B21"/>
    <w:rsid w:val="009C5E9D"/>
    <w:rsid w:val="009C64CE"/>
    <w:rsid w:val="009D391C"/>
    <w:rsid w:val="009D4762"/>
    <w:rsid w:val="009E0D05"/>
    <w:rsid w:val="009F3584"/>
    <w:rsid w:val="009F4D3D"/>
    <w:rsid w:val="00A014EF"/>
    <w:rsid w:val="00A04426"/>
    <w:rsid w:val="00A0594F"/>
    <w:rsid w:val="00A10A06"/>
    <w:rsid w:val="00A134C8"/>
    <w:rsid w:val="00A14710"/>
    <w:rsid w:val="00A22C6E"/>
    <w:rsid w:val="00A30F63"/>
    <w:rsid w:val="00A34258"/>
    <w:rsid w:val="00A37486"/>
    <w:rsid w:val="00A421F3"/>
    <w:rsid w:val="00A61863"/>
    <w:rsid w:val="00A77D6B"/>
    <w:rsid w:val="00A834EB"/>
    <w:rsid w:val="00A8514D"/>
    <w:rsid w:val="00A90833"/>
    <w:rsid w:val="00AA04D2"/>
    <w:rsid w:val="00AC5E60"/>
    <w:rsid w:val="00AD2697"/>
    <w:rsid w:val="00AD288F"/>
    <w:rsid w:val="00AD46A1"/>
    <w:rsid w:val="00AD5FA7"/>
    <w:rsid w:val="00AE4780"/>
    <w:rsid w:val="00AF2D04"/>
    <w:rsid w:val="00AF7FFA"/>
    <w:rsid w:val="00B1735A"/>
    <w:rsid w:val="00B20591"/>
    <w:rsid w:val="00B27BE3"/>
    <w:rsid w:val="00B27DEB"/>
    <w:rsid w:val="00B37C68"/>
    <w:rsid w:val="00B47344"/>
    <w:rsid w:val="00B701FD"/>
    <w:rsid w:val="00B843E5"/>
    <w:rsid w:val="00BA3CB2"/>
    <w:rsid w:val="00BA63C1"/>
    <w:rsid w:val="00BA7DEB"/>
    <w:rsid w:val="00BB3164"/>
    <w:rsid w:val="00BD097F"/>
    <w:rsid w:val="00BD1921"/>
    <w:rsid w:val="00BD63D8"/>
    <w:rsid w:val="00BD6975"/>
    <w:rsid w:val="00BE138D"/>
    <w:rsid w:val="00BE1C69"/>
    <w:rsid w:val="00BF0C52"/>
    <w:rsid w:val="00C0170E"/>
    <w:rsid w:val="00C04164"/>
    <w:rsid w:val="00C06C99"/>
    <w:rsid w:val="00C10986"/>
    <w:rsid w:val="00C157D9"/>
    <w:rsid w:val="00C251AF"/>
    <w:rsid w:val="00C34BAA"/>
    <w:rsid w:val="00C42111"/>
    <w:rsid w:val="00C6172E"/>
    <w:rsid w:val="00C656C0"/>
    <w:rsid w:val="00C766A9"/>
    <w:rsid w:val="00CB71E8"/>
    <w:rsid w:val="00CC058A"/>
    <w:rsid w:val="00CC2A01"/>
    <w:rsid w:val="00CD202E"/>
    <w:rsid w:val="00CD222B"/>
    <w:rsid w:val="00CD4DF6"/>
    <w:rsid w:val="00CD655A"/>
    <w:rsid w:val="00CE5AAE"/>
    <w:rsid w:val="00D114E3"/>
    <w:rsid w:val="00D23435"/>
    <w:rsid w:val="00D23DD3"/>
    <w:rsid w:val="00D27FEB"/>
    <w:rsid w:val="00D35171"/>
    <w:rsid w:val="00D4141B"/>
    <w:rsid w:val="00D51AF8"/>
    <w:rsid w:val="00D523A4"/>
    <w:rsid w:val="00D758EC"/>
    <w:rsid w:val="00D86FA6"/>
    <w:rsid w:val="00D93BBE"/>
    <w:rsid w:val="00D96051"/>
    <w:rsid w:val="00D9745F"/>
    <w:rsid w:val="00DB588A"/>
    <w:rsid w:val="00DD09D9"/>
    <w:rsid w:val="00DF4F89"/>
    <w:rsid w:val="00E0460B"/>
    <w:rsid w:val="00E0781D"/>
    <w:rsid w:val="00E1252B"/>
    <w:rsid w:val="00E1701F"/>
    <w:rsid w:val="00E22B1C"/>
    <w:rsid w:val="00E24515"/>
    <w:rsid w:val="00E2501F"/>
    <w:rsid w:val="00E37389"/>
    <w:rsid w:val="00E528EC"/>
    <w:rsid w:val="00E5588C"/>
    <w:rsid w:val="00E70A9A"/>
    <w:rsid w:val="00E71134"/>
    <w:rsid w:val="00E7704B"/>
    <w:rsid w:val="00E81CDF"/>
    <w:rsid w:val="00E86D5E"/>
    <w:rsid w:val="00E87A20"/>
    <w:rsid w:val="00E96B47"/>
    <w:rsid w:val="00EB3DC3"/>
    <w:rsid w:val="00EC6B98"/>
    <w:rsid w:val="00EE036C"/>
    <w:rsid w:val="00F02A76"/>
    <w:rsid w:val="00F0623E"/>
    <w:rsid w:val="00F06C46"/>
    <w:rsid w:val="00F07682"/>
    <w:rsid w:val="00F13134"/>
    <w:rsid w:val="00F21E7B"/>
    <w:rsid w:val="00F23BFF"/>
    <w:rsid w:val="00F2445C"/>
    <w:rsid w:val="00F24E94"/>
    <w:rsid w:val="00F410A3"/>
    <w:rsid w:val="00F44E09"/>
    <w:rsid w:val="00F54999"/>
    <w:rsid w:val="00F624BC"/>
    <w:rsid w:val="00F8642A"/>
    <w:rsid w:val="00F912BC"/>
    <w:rsid w:val="00F92A55"/>
    <w:rsid w:val="00F9732E"/>
    <w:rsid w:val="00FB4A15"/>
    <w:rsid w:val="00FD084F"/>
    <w:rsid w:val="00FF1C08"/>
    <w:rsid w:val="00FF344E"/>
    <w:rsid w:val="00FF6FA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C9809"/>
  <w15:docId w15:val="{8DFB0FA2-EF03-435B-A329-6C0C74E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NI" w:eastAsia="es-N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33"/>
    <w:pPr>
      <w:jc w:val="both"/>
    </w:pPr>
    <w:rPr>
      <w:rFonts w:ascii="Arial" w:hAnsi="Arial"/>
      <w:sz w:val="24"/>
      <w:szCs w:val="22"/>
      <w:lang w:eastAsia="en-US"/>
    </w:rPr>
  </w:style>
  <w:style w:type="paragraph" w:styleId="Ttulo1">
    <w:name w:val="heading 1"/>
    <w:basedOn w:val="Normal"/>
    <w:next w:val="Normal"/>
    <w:link w:val="Ttulo1Car"/>
    <w:uiPriority w:val="9"/>
    <w:qFormat/>
    <w:rsid w:val="00BB3164"/>
    <w:pPr>
      <w:keepNext/>
      <w:keepLines/>
      <w:spacing w:before="240" w:after="240"/>
      <w:outlineLvl w:val="0"/>
    </w:pPr>
    <w:rPr>
      <w:rFonts w:eastAsia="Times New Roman"/>
      <w:b/>
      <w:sz w:val="32"/>
      <w:szCs w:val="32"/>
    </w:rPr>
  </w:style>
  <w:style w:type="paragraph" w:styleId="Ttulo2">
    <w:name w:val="heading 2"/>
    <w:basedOn w:val="Normal"/>
    <w:next w:val="Normal"/>
    <w:link w:val="Ttulo2Car"/>
    <w:uiPriority w:val="9"/>
    <w:semiHidden/>
    <w:unhideWhenUsed/>
    <w:qFormat/>
    <w:rsid w:val="00D4141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D4141B"/>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AD5F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Descripcin"/>
    <w:link w:val="TablaCar"/>
    <w:qFormat/>
    <w:rsid w:val="004F54CA"/>
    <w:pPr>
      <w:numPr>
        <w:numId w:val="10"/>
      </w:numPr>
      <w:ind w:hanging="360"/>
    </w:pPr>
    <w:rPr>
      <w:rFonts w:cs="Arial"/>
      <w:i w:val="0"/>
    </w:rPr>
  </w:style>
  <w:style w:type="character" w:customStyle="1" w:styleId="TablaCar">
    <w:name w:val="Tabla Car"/>
    <w:link w:val="Tabla"/>
    <w:rsid w:val="004F54CA"/>
    <w:rPr>
      <w:rFonts w:ascii="Arial" w:eastAsia="Calibri" w:hAnsi="Arial" w:cs="Arial"/>
      <w:iCs/>
      <w:color w:val="44546A"/>
      <w:sz w:val="18"/>
      <w:szCs w:val="18"/>
      <w:lang w:val="es-ES_tradnl"/>
    </w:rPr>
  </w:style>
  <w:style w:type="paragraph" w:customStyle="1" w:styleId="Cuadro">
    <w:name w:val="Cuadro"/>
    <w:basedOn w:val="Normal"/>
    <w:link w:val="CuadroCar"/>
    <w:qFormat/>
    <w:rsid w:val="00C766A9"/>
    <w:pPr>
      <w:numPr>
        <w:numId w:val="5"/>
      </w:numPr>
      <w:ind w:hanging="360"/>
    </w:pPr>
  </w:style>
  <w:style w:type="character" w:customStyle="1" w:styleId="CuadroCar">
    <w:name w:val="Cuadro Car"/>
    <w:link w:val="Cuadro"/>
    <w:rsid w:val="00C766A9"/>
    <w:rPr>
      <w:rFonts w:ascii="Arial" w:hAnsi="Arial"/>
      <w:sz w:val="24"/>
    </w:rPr>
  </w:style>
  <w:style w:type="paragraph" w:styleId="Descripcin">
    <w:name w:val="caption"/>
    <w:basedOn w:val="Normal"/>
    <w:next w:val="Normal"/>
    <w:uiPriority w:val="35"/>
    <w:unhideWhenUsed/>
    <w:qFormat/>
    <w:rsid w:val="004F54CA"/>
    <w:rPr>
      <w:i/>
      <w:iCs/>
      <w:color w:val="44546A"/>
      <w:sz w:val="18"/>
      <w:szCs w:val="18"/>
    </w:rPr>
  </w:style>
  <w:style w:type="character" w:customStyle="1" w:styleId="Ttulo1Car">
    <w:name w:val="Título 1 Car"/>
    <w:link w:val="Ttulo1"/>
    <w:uiPriority w:val="9"/>
    <w:rsid w:val="00BB3164"/>
    <w:rPr>
      <w:rFonts w:ascii="Arial" w:eastAsia="Times New Roman" w:hAnsi="Arial" w:cs="Times New Roman"/>
      <w:b/>
      <w:sz w:val="32"/>
      <w:szCs w:val="32"/>
    </w:rPr>
  </w:style>
  <w:style w:type="paragraph" w:customStyle="1" w:styleId="Mental">
    <w:name w:val="Mental"/>
    <w:basedOn w:val="Normal"/>
    <w:link w:val="MentalCar"/>
    <w:rsid w:val="00E37389"/>
    <w:rPr>
      <w:rFonts w:ascii="Calibri" w:hAnsi="Calibri"/>
      <w:b/>
      <w:color w:val="17365D"/>
    </w:rPr>
  </w:style>
  <w:style w:type="character" w:customStyle="1" w:styleId="MentalCar">
    <w:name w:val="Mental Car"/>
    <w:link w:val="Mental"/>
    <w:rsid w:val="00E37389"/>
    <w:rPr>
      <w:rFonts w:ascii="Calibri" w:hAnsi="Calibri" w:cs="Times New Roman"/>
      <w:b/>
      <w:color w:val="17365D"/>
      <w:sz w:val="24"/>
    </w:rPr>
  </w:style>
  <w:style w:type="paragraph" w:customStyle="1" w:styleId="Ttulo10">
    <w:name w:val="Título1"/>
    <w:basedOn w:val="Normal"/>
    <w:next w:val="Normal"/>
    <w:link w:val="TtuloCar"/>
    <w:uiPriority w:val="10"/>
    <w:qFormat/>
    <w:rsid w:val="00E37389"/>
    <w:pPr>
      <w:contextualSpacing/>
    </w:pPr>
    <w:rPr>
      <w:rFonts w:ascii="Calibri Light" w:eastAsia="Times New Roman" w:hAnsi="Calibri Light"/>
      <w:spacing w:val="-10"/>
      <w:kern w:val="28"/>
      <w:sz w:val="56"/>
      <w:szCs w:val="56"/>
    </w:rPr>
  </w:style>
  <w:style w:type="character" w:customStyle="1" w:styleId="TtuloCar">
    <w:name w:val="Título Car"/>
    <w:link w:val="Ttulo10"/>
    <w:uiPriority w:val="10"/>
    <w:rsid w:val="00E37389"/>
    <w:rPr>
      <w:rFonts w:ascii="Calibri Light" w:eastAsia="Times New Roman" w:hAnsi="Calibri Light" w:cs="Times New Roman"/>
      <w:spacing w:val="-10"/>
      <w:kern w:val="28"/>
      <w:sz w:val="56"/>
      <w:szCs w:val="56"/>
    </w:rPr>
  </w:style>
  <w:style w:type="paragraph" w:styleId="Encabezado">
    <w:name w:val="header"/>
    <w:basedOn w:val="Normal"/>
    <w:link w:val="EncabezadoCar"/>
    <w:uiPriority w:val="99"/>
    <w:unhideWhenUsed/>
    <w:rsid w:val="00A8514D"/>
    <w:pPr>
      <w:tabs>
        <w:tab w:val="center" w:pos="4419"/>
        <w:tab w:val="right" w:pos="8838"/>
      </w:tabs>
    </w:pPr>
  </w:style>
  <w:style w:type="character" w:customStyle="1" w:styleId="EncabezadoCar">
    <w:name w:val="Encabezado Car"/>
    <w:link w:val="Encabezado"/>
    <w:uiPriority w:val="99"/>
    <w:rsid w:val="00A8514D"/>
    <w:rPr>
      <w:rFonts w:ascii="Arial" w:hAnsi="Arial"/>
      <w:sz w:val="24"/>
      <w:szCs w:val="22"/>
      <w:lang w:eastAsia="en-US"/>
    </w:rPr>
  </w:style>
  <w:style w:type="paragraph" w:styleId="Piedepgina">
    <w:name w:val="footer"/>
    <w:basedOn w:val="Normal"/>
    <w:link w:val="PiedepginaCar"/>
    <w:uiPriority w:val="99"/>
    <w:unhideWhenUsed/>
    <w:rsid w:val="00A8514D"/>
    <w:pPr>
      <w:tabs>
        <w:tab w:val="center" w:pos="4419"/>
        <w:tab w:val="right" w:pos="8838"/>
      </w:tabs>
    </w:pPr>
  </w:style>
  <w:style w:type="character" w:customStyle="1" w:styleId="PiedepginaCar">
    <w:name w:val="Pie de página Car"/>
    <w:link w:val="Piedepgina"/>
    <w:uiPriority w:val="99"/>
    <w:rsid w:val="00A8514D"/>
    <w:rPr>
      <w:rFonts w:ascii="Arial" w:hAnsi="Arial"/>
      <w:sz w:val="24"/>
      <w:szCs w:val="22"/>
      <w:lang w:eastAsia="en-US"/>
    </w:rPr>
  </w:style>
  <w:style w:type="paragraph" w:styleId="NormalWeb">
    <w:name w:val="Normal (Web)"/>
    <w:basedOn w:val="Normal"/>
    <w:uiPriority w:val="99"/>
    <w:unhideWhenUsed/>
    <w:rsid w:val="006122B6"/>
    <w:pPr>
      <w:spacing w:before="100" w:beforeAutospacing="1" w:after="100" w:afterAutospacing="1"/>
      <w:jc w:val="left"/>
    </w:pPr>
    <w:rPr>
      <w:rFonts w:ascii="Times New Roman" w:eastAsia="Times New Roman" w:hAnsi="Times New Roman"/>
      <w:szCs w:val="24"/>
      <w:lang w:eastAsia="es-NI"/>
    </w:rPr>
  </w:style>
  <w:style w:type="paragraph" w:customStyle="1" w:styleId="Default">
    <w:name w:val="Default"/>
    <w:rsid w:val="0086516D"/>
    <w:pPr>
      <w:autoSpaceDE w:val="0"/>
      <w:autoSpaceDN w:val="0"/>
      <w:adjustRightInd w:val="0"/>
    </w:pPr>
    <w:rPr>
      <w:rFonts w:ascii="Arial" w:hAnsi="Arial" w:cs="Arial"/>
      <w:color w:val="000000"/>
      <w:sz w:val="24"/>
      <w:szCs w:val="24"/>
    </w:rPr>
  </w:style>
  <w:style w:type="character" w:styleId="Hipervnculo">
    <w:name w:val="Hyperlink"/>
    <w:unhideWhenUsed/>
    <w:rsid w:val="00E1252B"/>
    <w:rPr>
      <w:color w:val="0563C1"/>
      <w:u w:val="single"/>
    </w:rPr>
  </w:style>
  <w:style w:type="paragraph" w:styleId="Textodeglobo">
    <w:name w:val="Balloon Text"/>
    <w:basedOn w:val="Normal"/>
    <w:link w:val="TextodegloboCar"/>
    <w:uiPriority w:val="99"/>
    <w:unhideWhenUsed/>
    <w:rsid w:val="00A134C8"/>
    <w:rPr>
      <w:rFonts w:ascii="Tahoma" w:hAnsi="Tahoma" w:cs="Tahoma"/>
      <w:sz w:val="16"/>
      <w:szCs w:val="16"/>
    </w:rPr>
  </w:style>
  <w:style w:type="character" w:customStyle="1" w:styleId="TextodegloboCar">
    <w:name w:val="Texto de globo Car"/>
    <w:link w:val="Textodeglobo"/>
    <w:uiPriority w:val="99"/>
    <w:rsid w:val="00A134C8"/>
    <w:rPr>
      <w:rFonts w:ascii="Tahoma" w:hAnsi="Tahoma" w:cs="Tahoma"/>
      <w:sz w:val="16"/>
      <w:szCs w:val="16"/>
      <w:lang w:eastAsia="en-US"/>
    </w:rPr>
  </w:style>
  <w:style w:type="character" w:customStyle="1" w:styleId="A1">
    <w:name w:val="A1"/>
    <w:uiPriority w:val="99"/>
    <w:rsid w:val="00B47344"/>
    <w:rPr>
      <w:b/>
      <w:bCs/>
      <w:color w:val="000000"/>
      <w:sz w:val="28"/>
      <w:szCs w:val="28"/>
    </w:rPr>
  </w:style>
  <w:style w:type="paragraph" w:customStyle="1" w:styleId="s3">
    <w:name w:val="s3"/>
    <w:basedOn w:val="Normal"/>
    <w:rsid w:val="00B47344"/>
    <w:pPr>
      <w:spacing w:before="100" w:beforeAutospacing="1" w:after="100" w:afterAutospacing="1"/>
    </w:pPr>
    <w:rPr>
      <w:rFonts w:eastAsia="Times New Roman"/>
      <w:szCs w:val="24"/>
      <w:lang w:eastAsia="es-NI"/>
    </w:rPr>
  </w:style>
  <w:style w:type="paragraph" w:styleId="HTMLconformatoprevio">
    <w:name w:val="HTML Preformatted"/>
    <w:basedOn w:val="Normal"/>
    <w:link w:val="HTMLconformatoprevioCar"/>
    <w:uiPriority w:val="99"/>
    <w:semiHidden/>
    <w:unhideWhenUsed/>
    <w:rsid w:val="00D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NI"/>
    </w:rPr>
  </w:style>
  <w:style w:type="character" w:customStyle="1" w:styleId="HTMLconformatoprevioCar">
    <w:name w:val="HTML con formato previo Car"/>
    <w:link w:val="HTMLconformatoprevio"/>
    <w:uiPriority w:val="99"/>
    <w:semiHidden/>
    <w:rsid w:val="00D4141B"/>
    <w:rPr>
      <w:rFonts w:ascii="Courier New" w:eastAsia="Times New Roman" w:hAnsi="Courier New" w:cs="Courier New"/>
    </w:rPr>
  </w:style>
  <w:style w:type="character" w:customStyle="1" w:styleId="Ttulo2Car">
    <w:name w:val="Título 2 Car"/>
    <w:link w:val="Ttulo2"/>
    <w:uiPriority w:val="9"/>
    <w:semiHidden/>
    <w:rsid w:val="00D4141B"/>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D4141B"/>
    <w:rPr>
      <w:rFonts w:ascii="Calibri Light" w:eastAsia="Times New Roman" w:hAnsi="Calibri Light" w:cs="Times New Roman"/>
      <w:b/>
      <w:bCs/>
      <w:sz w:val="26"/>
      <w:szCs w:val="26"/>
      <w:lang w:eastAsia="en-US"/>
    </w:rPr>
  </w:style>
  <w:style w:type="paragraph" w:styleId="Bibliografa">
    <w:name w:val="Bibliography"/>
    <w:basedOn w:val="Normal"/>
    <w:next w:val="Normal"/>
    <w:uiPriority w:val="37"/>
    <w:unhideWhenUsed/>
    <w:rsid w:val="00D4141B"/>
    <w:pPr>
      <w:spacing w:line="360" w:lineRule="auto"/>
      <w:ind w:firstLine="709"/>
    </w:pPr>
  </w:style>
  <w:style w:type="paragraph" w:styleId="Prrafodelista">
    <w:name w:val="List Paragraph"/>
    <w:basedOn w:val="Normal"/>
    <w:link w:val="PrrafodelistaCar"/>
    <w:uiPriority w:val="34"/>
    <w:qFormat/>
    <w:rsid w:val="007C27CD"/>
    <w:pPr>
      <w:spacing w:after="200" w:line="276" w:lineRule="auto"/>
      <w:ind w:left="720"/>
      <w:contextualSpacing/>
      <w:jc w:val="left"/>
    </w:pPr>
    <w:rPr>
      <w:rFonts w:ascii="Calibri" w:eastAsia="Times New Roman" w:hAnsi="Calibri"/>
      <w:sz w:val="22"/>
      <w:lang w:bidi="en-US"/>
    </w:rPr>
  </w:style>
  <w:style w:type="character" w:styleId="Textoennegrita">
    <w:name w:val="Strong"/>
    <w:basedOn w:val="Fuentedeprrafopredeter"/>
    <w:uiPriority w:val="22"/>
    <w:qFormat/>
    <w:rsid w:val="003B3F76"/>
    <w:rPr>
      <w:b/>
      <w:bCs/>
    </w:rPr>
  </w:style>
  <w:style w:type="paragraph" w:styleId="Textonotapie">
    <w:name w:val="footnote text"/>
    <w:basedOn w:val="Normal"/>
    <w:link w:val="TextonotapieCar"/>
    <w:uiPriority w:val="99"/>
    <w:unhideWhenUsed/>
    <w:rsid w:val="003B3F76"/>
    <w:pPr>
      <w:jc w:val="left"/>
    </w:pPr>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rsid w:val="003B3F76"/>
    <w:rPr>
      <w:rFonts w:asciiTheme="minorHAnsi" w:eastAsiaTheme="minorEastAsia" w:hAnsiTheme="minorHAnsi" w:cstheme="minorBidi"/>
      <w:lang w:val="en-US" w:eastAsia="zh-CN"/>
    </w:rPr>
  </w:style>
  <w:style w:type="character" w:styleId="Refdenotaalpie">
    <w:name w:val="footnote reference"/>
    <w:basedOn w:val="Fuentedeprrafopredeter"/>
    <w:uiPriority w:val="99"/>
    <w:unhideWhenUsed/>
    <w:rsid w:val="003B3F76"/>
    <w:rPr>
      <w:vertAlign w:val="superscript"/>
    </w:rPr>
  </w:style>
  <w:style w:type="character" w:styleId="nfasis">
    <w:name w:val="Emphasis"/>
    <w:basedOn w:val="Fuentedeprrafopredeter"/>
    <w:uiPriority w:val="20"/>
    <w:qFormat/>
    <w:rsid w:val="006738DA"/>
    <w:rPr>
      <w:i/>
      <w:iCs/>
    </w:rPr>
  </w:style>
  <w:style w:type="paragraph" w:styleId="Listaconvietas">
    <w:name w:val="List Bullet"/>
    <w:basedOn w:val="Normal"/>
    <w:uiPriority w:val="99"/>
    <w:unhideWhenUsed/>
    <w:rsid w:val="006738DA"/>
    <w:pPr>
      <w:numPr>
        <w:numId w:val="13"/>
      </w:numPr>
      <w:spacing w:after="160" w:line="259" w:lineRule="auto"/>
      <w:contextualSpacing/>
      <w:jc w:val="left"/>
    </w:pPr>
    <w:rPr>
      <w:rFonts w:asciiTheme="minorHAnsi" w:eastAsiaTheme="minorHAnsi" w:hAnsiTheme="minorHAnsi" w:cstheme="minorBidi"/>
      <w:sz w:val="22"/>
      <w:lang w:val="es-MX"/>
    </w:rPr>
  </w:style>
  <w:style w:type="paragraph" w:customStyle="1" w:styleId="xmsonormal">
    <w:name w:val="x_msonormal"/>
    <w:basedOn w:val="Normal"/>
    <w:rsid w:val="006738DA"/>
    <w:pPr>
      <w:spacing w:before="100" w:beforeAutospacing="1" w:after="100" w:afterAutospacing="1"/>
      <w:jc w:val="left"/>
    </w:pPr>
    <w:rPr>
      <w:rFonts w:ascii="Times New Roman" w:eastAsia="Times New Roman" w:hAnsi="Times New Roman"/>
      <w:szCs w:val="24"/>
      <w:lang w:val="es-MX" w:eastAsia="es-MX"/>
    </w:rPr>
  </w:style>
  <w:style w:type="table" w:styleId="Tablaconcuadrcula">
    <w:name w:val="Table Grid"/>
    <w:aliases w:val="am2,amm"/>
    <w:basedOn w:val="Tablanormal"/>
    <w:uiPriority w:val="39"/>
    <w:rsid w:val="006738DA"/>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culo">
    <w:name w:val="_Título Artículo"/>
    <w:next w:val="Normal"/>
    <w:qFormat/>
    <w:rsid w:val="00AD5FA7"/>
    <w:pPr>
      <w:spacing w:before="120" w:after="120"/>
      <w:jc w:val="center"/>
    </w:pPr>
    <w:rPr>
      <w:rFonts w:ascii="Times New Roman" w:eastAsia="Times New Roman" w:hAnsi="Times New Roman" w:cs="Arial"/>
      <w:b/>
      <w:bCs/>
      <w:caps/>
      <w:kern w:val="32"/>
      <w:sz w:val="28"/>
      <w:szCs w:val="28"/>
      <w:lang w:val="es-ES" w:eastAsia="es-ES"/>
    </w:rPr>
  </w:style>
  <w:style w:type="paragraph" w:customStyle="1" w:styleId="Resumen">
    <w:name w:val="_Resumen"/>
    <w:next w:val="Normal"/>
    <w:rsid w:val="00AD5FA7"/>
    <w:pPr>
      <w:jc w:val="both"/>
    </w:pPr>
    <w:rPr>
      <w:rFonts w:ascii="Times New Roman" w:eastAsia="Times New Roman" w:hAnsi="Times New Roman"/>
      <w:lang w:val="es-ES_tradnl" w:eastAsia="es-ES"/>
    </w:rPr>
  </w:style>
  <w:style w:type="character" w:customStyle="1" w:styleId="Ttulo4Car">
    <w:name w:val="Título 4 Car"/>
    <w:basedOn w:val="Fuentedeprrafopredeter"/>
    <w:link w:val="Ttulo4"/>
    <w:uiPriority w:val="9"/>
    <w:semiHidden/>
    <w:rsid w:val="00AD5FA7"/>
    <w:rPr>
      <w:rFonts w:asciiTheme="majorHAnsi" w:eastAsiaTheme="majorEastAsia" w:hAnsiTheme="majorHAnsi" w:cstheme="majorBidi"/>
      <w:i/>
      <w:iCs/>
      <w:color w:val="2E74B5" w:themeColor="accent1" w:themeShade="BF"/>
      <w:sz w:val="24"/>
      <w:szCs w:val="22"/>
      <w:lang w:eastAsia="en-US"/>
    </w:rPr>
  </w:style>
  <w:style w:type="paragraph" w:customStyle="1" w:styleId="Nivel1">
    <w:name w:val="_Nivel 1"/>
    <w:next w:val="Normal"/>
    <w:qFormat/>
    <w:rsid w:val="00AD5FA7"/>
    <w:pPr>
      <w:spacing w:after="200"/>
      <w:jc w:val="center"/>
    </w:pPr>
    <w:rPr>
      <w:rFonts w:ascii="Times New Roman" w:eastAsia="Times New Roman" w:hAnsi="Times New Roman"/>
      <w:b/>
      <w:bCs/>
      <w:sz w:val="24"/>
      <w:szCs w:val="24"/>
      <w:lang w:val="es-ES" w:eastAsia="es-ES"/>
    </w:rPr>
  </w:style>
  <w:style w:type="paragraph" w:customStyle="1" w:styleId="Body">
    <w:name w:val="_Body"/>
    <w:qFormat/>
    <w:rsid w:val="00AD5FA7"/>
    <w:pPr>
      <w:spacing w:before="120" w:after="120"/>
      <w:ind w:firstLine="709"/>
      <w:jc w:val="both"/>
    </w:pPr>
    <w:rPr>
      <w:rFonts w:ascii="Times New Roman" w:eastAsia="Times New Roman" w:hAnsi="Times New Roman"/>
      <w:color w:val="000000"/>
      <w:sz w:val="24"/>
      <w:szCs w:val="24"/>
      <w:lang w:val="es-ES" w:eastAsia="es-ES"/>
    </w:rPr>
  </w:style>
  <w:style w:type="paragraph" w:styleId="Sangradetextonormal">
    <w:name w:val="Body Text Indent"/>
    <w:basedOn w:val="Normal"/>
    <w:link w:val="SangradetextonormalCar"/>
    <w:rsid w:val="00AD5F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eastAsia="Times New Roman" w:hAnsi="Times New Roman"/>
      <w:sz w:val="32"/>
      <w:szCs w:val="32"/>
      <w:lang w:val="en-US"/>
    </w:rPr>
  </w:style>
  <w:style w:type="character" w:customStyle="1" w:styleId="SangradetextonormalCar">
    <w:name w:val="Sangría de texto normal Car"/>
    <w:basedOn w:val="Fuentedeprrafopredeter"/>
    <w:link w:val="Sangradetextonormal"/>
    <w:rsid w:val="00AD5FA7"/>
    <w:rPr>
      <w:rFonts w:ascii="Times New Roman" w:eastAsia="Times New Roman" w:hAnsi="Times New Roman"/>
      <w:sz w:val="32"/>
      <w:szCs w:val="32"/>
      <w:lang w:val="en-US" w:eastAsia="en-US"/>
    </w:rPr>
  </w:style>
  <w:style w:type="paragraph" w:customStyle="1" w:styleId="nivel30">
    <w:name w:val="_nivel 3"/>
    <w:next w:val="Body"/>
    <w:qFormat/>
    <w:rsid w:val="00AD5FA7"/>
    <w:pPr>
      <w:spacing w:before="120" w:after="120" w:line="276" w:lineRule="auto"/>
    </w:pPr>
    <w:rPr>
      <w:rFonts w:ascii="Times New Roman" w:eastAsia="Times New Roman" w:hAnsi="Times New Roman"/>
      <w:i/>
      <w:sz w:val="24"/>
      <w:szCs w:val="24"/>
      <w:lang w:val="es-ES" w:eastAsia="es-ES"/>
    </w:rPr>
  </w:style>
  <w:style w:type="paragraph" w:customStyle="1" w:styleId="Referencias">
    <w:name w:val="_Referencias"/>
    <w:qFormat/>
    <w:rsid w:val="00AD5FA7"/>
    <w:pPr>
      <w:tabs>
        <w:tab w:val="left" w:pos="7655"/>
      </w:tabs>
      <w:spacing w:before="120" w:after="120" w:line="25" w:lineRule="atLeast"/>
      <w:ind w:left="709" w:hanging="709"/>
      <w:jc w:val="both"/>
    </w:pPr>
    <w:rPr>
      <w:rFonts w:ascii="Times New Roman" w:eastAsia="Times New Roman" w:hAnsi="Times New Roman"/>
      <w:color w:val="000000"/>
      <w:sz w:val="24"/>
      <w:szCs w:val="24"/>
      <w:shd w:val="clear" w:color="auto" w:fill="FFFFFF"/>
      <w:lang w:val="en-GB" w:eastAsia="es-ES"/>
    </w:rPr>
  </w:style>
  <w:style w:type="paragraph" w:styleId="Sinespaciado">
    <w:name w:val="No Spacing"/>
    <w:link w:val="SinespaciadoCar"/>
    <w:uiPriority w:val="1"/>
    <w:qFormat/>
    <w:rsid w:val="00E528EC"/>
    <w:rPr>
      <w:rFonts w:asciiTheme="minorHAnsi" w:eastAsiaTheme="minorHAnsi" w:hAnsiTheme="minorHAnsi" w:cstheme="minorBidi"/>
      <w:sz w:val="22"/>
      <w:szCs w:val="22"/>
      <w:lang w:eastAsia="en-US"/>
    </w:rPr>
  </w:style>
  <w:style w:type="table" w:styleId="Tablanormal2">
    <w:name w:val="Plain Table 2"/>
    <w:basedOn w:val="Tablanormal"/>
    <w:uiPriority w:val="42"/>
    <w:rsid w:val="0032148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Fuentedeprrafopredeter"/>
    <w:rsid w:val="00C0170E"/>
  </w:style>
  <w:style w:type="character" w:customStyle="1" w:styleId="Cuadrculamedia2Car">
    <w:name w:val="Cuadrícula media 2 Car"/>
    <w:link w:val="Cuadrculamedia2"/>
    <w:rsid w:val="00742036"/>
    <w:rPr>
      <w:rFonts w:ascii="PMingLiU" w:hAnsi="PMingLiU"/>
      <w:sz w:val="22"/>
      <w:szCs w:val="22"/>
    </w:rPr>
  </w:style>
  <w:style w:type="table" w:styleId="Cuadrculamedia2">
    <w:name w:val="Medium Grid 2"/>
    <w:basedOn w:val="Tablanormal"/>
    <w:link w:val="Cuadrculamedia2Car"/>
    <w:semiHidden/>
    <w:unhideWhenUsed/>
    <w:rsid w:val="00742036"/>
    <w:rPr>
      <w:rFonts w:ascii="PMingLiU" w:hAnsi="PMingLiU"/>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orcid-id-https">
    <w:name w:val="orcid-id-https"/>
    <w:basedOn w:val="Fuentedeprrafopredeter"/>
    <w:rsid w:val="008C71A4"/>
  </w:style>
  <w:style w:type="character" w:customStyle="1" w:styleId="PrrafodelistaCar">
    <w:name w:val="Párrafo de lista Car"/>
    <w:basedOn w:val="Fuentedeprrafopredeter"/>
    <w:link w:val="Prrafodelista"/>
    <w:uiPriority w:val="34"/>
    <w:rsid w:val="00F8642A"/>
    <w:rPr>
      <w:rFonts w:eastAsia="Times New Roman"/>
      <w:sz w:val="22"/>
      <w:szCs w:val="22"/>
      <w:lang w:eastAsia="en-US" w:bidi="en-US"/>
    </w:rPr>
  </w:style>
  <w:style w:type="paragraph" w:customStyle="1" w:styleId="NIVEL10">
    <w:name w:val="NIVEL 1"/>
    <w:basedOn w:val="Prrafodelista"/>
    <w:qFormat/>
    <w:rsid w:val="00F8642A"/>
    <w:pPr>
      <w:spacing w:after="160" w:line="259" w:lineRule="auto"/>
      <w:ind w:left="360" w:hanging="360"/>
    </w:pPr>
    <w:rPr>
      <w:rFonts w:ascii="Arial" w:eastAsiaTheme="minorHAnsi" w:hAnsi="Arial" w:cs="Arial"/>
      <w:b/>
      <w:lang w:bidi="ar-SA"/>
    </w:rPr>
  </w:style>
  <w:style w:type="paragraph" w:customStyle="1" w:styleId="NIVEL2">
    <w:name w:val="NIVEL2"/>
    <w:basedOn w:val="Prrafodelista"/>
    <w:qFormat/>
    <w:rsid w:val="00F8642A"/>
    <w:pPr>
      <w:numPr>
        <w:ilvl w:val="1"/>
        <w:numId w:val="29"/>
      </w:numPr>
      <w:spacing w:after="160" w:line="259" w:lineRule="auto"/>
    </w:pPr>
    <w:rPr>
      <w:rFonts w:asciiTheme="minorHAnsi" w:eastAsiaTheme="minorHAnsi" w:hAnsiTheme="minorHAnsi" w:cstheme="minorBidi"/>
      <w:b/>
      <w:i/>
      <w:lang w:bidi="ar-SA"/>
    </w:rPr>
  </w:style>
  <w:style w:type="paragraph" w:customStyle="1" w:styleId="NIVEL3">
    <w:name w:val="NIVEL3"/>
    <w:basedOn w:val="NIVEL10"/>
    <w:qFormat/>
    <w:rsid w:val="00F8642A"/>
    <w:pPr>
      <w:numPr>
        <w:ilvl w:val="2"/>
        <w:numId w:val="28"/>
      </w:numPr>
    </w:pPr>
    <w:rPr>
      <w:b w:val="0"/>
      <w:i/>
    </w:rPr>
  </w:style>
  <w:style w:type="paragraph" w:styleId="Textoindependiente">
    <w:name w:val="Body Text"/>
    <w:basedOn w:val="Normal"/>
    <w:link w:val="TextoindependienteCar"/>
    <w:uiPriority w:val="1"/>
    <w:unhideWhenUsed/>
    <w:qFormat/>
    <w:rsid w:val="00487F4E"/>
    <w:pPr>
      <w:spacing w:after="120"/>
    </w:pPr>
  </w:style>
  <w:style w:type="character" w:customStyle="1" w:styleId="TextoindependienteCar">
    <w:name w:val="Texto independiente Car"/>
    <w:basedOn w:val="Fuentedeprrafopredeter"/>
    <w:link w:val="Textoindependiente"/>
    <w:uiPriority w:val="1"/>
    <w:rsid w:val="00487F4E"/>
    <w:rPr>
      <w:rFonts w:ascii="Arial" w:hAnsi="Arial"/>
      <w:sz w:val="24"/>
      <w:szCs w:val="22"/>
      <w:lang w:eastAsia="en-US"/>
    </w:rPr>
  </w:style>
  <w:style w:type="character" w:styleId="Refdecomentario">
    <w:name w:val="annotation reference"/>
    <w:basedOn w:val="Fuentedeprrafopredeter"/>
    <w:uiPriority w:val="99"/>
    <w:semiHidden/>
    <w:unhideWhenUsed/>
    <w:rsid w:val="00487F4E"/>
    <w:rPr>
      <w:sz w:val="16"/>
      <w:szCs w:val="16"/>
    </w:rPr>
  </w:style>
  <w:style w:type="paragraph" w:styleId="Textocomentario">
    <w:name w:val="annotation text"/>
    <w:basedOn w:val="Normal"/>
    <w:link w:val="TextocomentarioCar"/>
    <w:uiPriority w:val="99"/>
    <w:semiHidden/>
    <w:unhideWhenUsed/>
    <w:rsid w:val="00487F4E"/>
    <w:pPr>
      <w:spacing w:after="160"/>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487F4E"/>
    <w:rPr>
      <w:rFonts w:asciiTheme="minorHAnsi" w:eastAsiaTheme="minorHAnsi" w:hAnsiTheme="minorHAnsi" w:cstheme="minorBidi"/>
      <w:lang w:val="es-CR" w:eastAsia="en-US"/>
    </w:rPr>
  </w:style>
  <w:style w:type="paragraph" w:styleId="Asuntodelcomentario">
    <w:name w:val="annotation subject"/>
    <w:basedOn w:val="Textocomentario"/>
    <w:next w:val="Textocomentario"/>
    <w:link w:val="AsuntodelcomentarioCar"/>
    <w:uiPriority w:val="99"/>
    <w:semiHidden/>
    <w:unhideWhenUsed/>
    <w:rsid w:val="00487F4E"/>
    <w:rPr>
      <w:b/>
      <w:bCs/>
    </w:rPr>
  </w:style>
  <w:style w:type="character" w:customStyle="1" w:styleId="AsuntodelcomentarioCar">
    <w:name w:val="Asunto del comentario Car"/>
    <w:basedOn w:val="TextocomentarioCar"/>
    <w:link w:val="Asuntodelcomentario"/>
    <w:uiPriority w:val="99"/>
    <w:semiHidden/>
    <w:rsid w:val="00487F4E"/>
    <w:rPr>
      <w:rFonts w:asciiTheme="minorHAnsi" w:eastAsiaTheme="minorHAnsi" w:hAnsiTheme="minorHAnsi" w:cstheme="minorBidi"/>
      <w:b/>
      <w:bCs/>
      <w:lang w:val="es-CR" w:eastAsia="en-US"/>
    </w:rPr>
  </w:style>
  <w:style w:type="character" w:customStyle="1" w:styleId="Mencinsinresolver1">
    <w:name w:val="Mención sin resolver1"/>
    <w:basedOn w:val="Fuentedeprrafopredeter"/>
    <w:uiPriority w:val="99"/>
    <w:semiHidden/>
    <w:unhideWhenUsed/>
    <w:rsid w:val="00487F4E"/>
    <w:rPr>
      <w:color w:val="605E5C"/>
      <w:shd w:val="clear" w:color="auto" w:fill="E1DFDD"/>
    </w:rPr>
  </w:style>
  <w:style w:type="table" w:customStyle="1" w:styleId="TableGrid">
    <w:name w:val="TableGrid"/>
    <w:rsid w:val="00487F4E"/>
    <w:rPr>
      <w:rFonts w:asciiTheme="minorHAnsi" w:eastAsiaTheme="minorEastAsia" w:hAnsiTheme="minorHAnsi" w:cstheme="minorBidi"/>
      <w:sz w:val="22"/>
      <w:szCs w:val="22"/>
      <w:lang w:val="es-VE" w:eastAsia="es-VE"/>
    </w:rPr>
    <w:tblPr>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rsid w:val="00487F4E"/>
    <w:rPr>
      <w:rFonts w:asciiTheme="minorHAnsi" w:eastAsiaTheme="minorHAnsi" w:hAnsiTheme="minorHAnsi" w:cstheme="minorBidi"/>
      <w:sz w:val="22"/>
      <w:szCs w:val="22"/>
      <w:lang w:eastAsia="en-US"/>
    </w:rPr>
  </w:style>
  <w:style w:type="character" w:customStyle="1" w:styleId="go">
    <w:name w:val="go"/>
    <w:basedOn w:val="Fuentedeprrafopredeter"/>
    <w:rsid w:val="002570A9"/>
  </w:style>
  <w:style w:type="paragraph" w:styleId="Textonotaalfinal">
    <w:name w:val="endnote text"/>
    <w:basedOn w:val="Normal"/>
    <w:link w:val="TextonotaalfinalCar"/>
    <w:uiPriority w:val="99"/>
    <w:semiHidden/>
    <w:unhideWhenUsed/>
    <w:rsid w:val="006969F6"/>
    <w:pPr>
      <w:jc w:val="left"/>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969F6"/>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969F6"/>
    <w:rPr>
      <w:vertAlign w:val="superscript"/>
    </w:rPr>
  </w:style>
  <w:style w:type="character" w:styleId="Textodelmarcadordeposicin">
    <w:name w:val="Placeholder Text"/>
    <w:basedOn w:val="Fuentedeprrafopredeter"/>
    <w:uiPriority w:val="99"/>
    <w:semiHidden/>
    <w:rsid w:val="006969F6"/>
    <w:rPr>
      <w:color w:val="808080"/>
    </w:rPr>
  </w:style>
  <w:style w:type="table" w:customStyle="1" w:styleId="TableNormal">
    <w:name w:val="Table Normal"/>
    <w:uiPriority w:val="2"/>
    <w:semiHidden/>
    <w:unhideWhenUsed/>
    <w:qFormat/>
    <w:rsid w:val="006969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69F6"/>
    <w:pPr>
      <w:widowControl w:val="0"/>
      <w:autoSpaceDE w:val="0"/>
      <w:autoSpaceDN w:val="0"/>
      <w:spacing w:before="50"/>
      <w:jc w:val="center"/>
    </w:pPr>
    <w:rPr>
      <w:rFonts w:ascii="Times New Roman" w:eastAsia="Times New Roman" w:hAnsi="Times New Roman"/>
      <w:sz w:val="22"/>
      <w:lang w:val="en-US" w:bidi="en-US"/>
    </w:rPr>
  </w:style>
  <w:style w:type="paragraph" w:customStyle="1" w:styleId="DecimalAligned">
    <w:name w:val="Decimal Aligned"/>
    <w:basedOn w:val="Normal"/>
    <w:uiPriority w:val="40"/>
    <w:qFormat/>
    <w:rsid w:val="006969F6"/>
    <w:pPr>
      <w:tabs>
        <w:tab w:val="decimal" w:pos="360"/>
      </w:tabs>
      <w:spacing w:after="200" w:line="276" w:lineRule="auto"/>
      <w:jc w:val="left"/>
    </w:pPr>
    <w:rPr>
      <w:rFonts w:asciiTheme="minorHAnsi" w:eastAsiaTheme="minorHAnsi" w:hAnsiTheme="minorHAnsi" w:cstheme="minorBidi"/>
      <w:sz w:val="22"/>
      <w:lang w:eastAsia="es-NI"/>
    </w:rPr>
  </w:style>
  <w:style w:type="character" w:styleId="nfasissutil">
    <w:name w:val="Subtle Emphasis"/>
    <w:basedOn w:val="Fuentedeprrafopredeter"/>
    <w:uiPriority w:val="19"/>
    <w:qFormat/>
    <w:rsid w:val="006969F6"/>
    <w:rPr>
      <w:i/>
      <w:iCs/>
      <w:color w:val="7F7F7F" w:themeColor="text1" w:themeTint="80"/>
    </w:rPr>
  </w:style>
  <w:style w:type="table" w:styleId="Sombreadoclaro-nfasis1">
    <w:name w:val="Light Shading Accent 1"/>
    <w:basedOn w:val="Tablanormal"/>
    <w:uiPriority w:val="60"/>
    <w:rsid w:val="006969F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6969F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Fuentedeprrafopredeter"/>
    <w:rsid w:val="00552C60"/>
  </w:style>
  <w:style w:type="character" w:customStyle="1" w:styleId="standard-view-style">
    <w:name w:val="standard-view-style"/>
    <w:basedOn w:val="Fuentedeprrafopredeter"/>
    <w:rsid w:val="000F42EA"/>
  </w:style>
  <w:style w:type="character" w:styleId="AcrnimoHTML">
    <w:name w:val="HTML Acronym"/>
    <w:basedOn w:val="Fuentedeprrafopredeter"/>
    <w:uiPriority w:val="99"/>
    <w:semiHidden/>
    <w:unhideWhenUsed/>
    <w:rsid w:val="000F42EA"/>
  </w:style>
  <w:style w:type="paragraph" w:customStyle="1" w:styleId="Standard">
    <w:name w:val="Standard"/>
    <w:rsid w:val="00CD4DF6"/>
    <w:pPr>
      <w:suppressAutoHyphens/>
      <w:autoSpaceDN w:val="0"/>
      <w:textAlignment w:val="baseline"/>
    </w:pPr>
    <w:rPr>
      <w:rFonts w:ascii="Liberation Serif" w:eastAsia="Noto Sans CJK SC" w:hAnsi="Liberation Serif" w:cs="Droid Sans Devanagari"/>
      <w:kern w:val="3"/>
      <w:sz w:val="24"/>
      <w:szCs w:val="24"/>
      <w:lang w:eastAsia="zh-CN" w:bidi="hi-IN"/>
    </w:rPr>
  </w:style>
  <w:style w:type="character" w:customStyle="1" w:styleId="A6">
    <w:name w:val="A6"/>
    <w:uiPriority w:val="99"/>
    <w:rsid w:val="00CD4DF6"/>
    <w:rPr>
      <w:rFonts w:cs="Adobe Garamond Pro"/>
      <w:b/>
      <w:bCs/>
      <w:color w:val="000000"/>
      <w:sz w:val="13"/>
      <w:szCs w:val="13"/>
    </w:rPr>
  </w:style>
  <w:style w:type="paragraph" w:customStyle="1" w:styleId="a">
    <w:name w:val="Основной_статья"/>
    <w:basedOn w:val="Normal"/>
    <w:uiPriority w:val="99"/>
    <w:rsid w:val="00246492"/>
    <w:pPr>
      <w:autoSpaceDE w:val="0"/>
      <w:autoSpaceDN w:val="0"/>
      <w:adjustRightInd w:val="0"/>
      <w:spacing w:line="288" w:lineRule="auto"/>
      <w:ind w:firstLine="340"/>
      <w:textAlignment w:val="center"/>
    </w:pPr>
    <w:rPr>
      <w:rFonts w:ascii="Times New Roman" w:hAnsi="Times New Roman"/>
      <w:color w:val="000000"/>
      <w:sz w:val="22"/>
      <w:lang w:val="ru-RU"/>
    </w:rPr>
  </w:style>
  <w:style w:type="paragraph" w:customStyle="1" w:styleId="Els-table-text">
    <w:name w:val="Els-table-text"/>
    <w:rsid w:val="00980985"/>
    <w:pPr>
      <w:spacing w:after="80" w:line="200" w:lineRule="exact"/>
    </w:pPr>
    <w:rPr>
      <w:rFonts w:ascii="Times New Roman" w:eastAsia="SimSun" w:hAnsi="Times New Roman"/>
      <w:sz w:val="16"/>
      <w:lang w:val="en-US" w:eastAsia="en-US"/>
    </w:rPr>
  </w:style>
  <w:style w:type="character" w:styleId="Nmerodepgina">
    <w:name w:val="page number"/>
    <w:basedOn w:val="Fuentedeprrafopredeter"/>
    <w:uiPriority w:val="99"/>
    <w:unhideWhenUsed/>
    <w:rsid w:val="002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90">
      <w:bodyDiv w:val="1"/>
      <w:marLeft w:val="0"/>
      <w:marRight w:val="0"/>
      <w:marTop w:val="0"/>
      <w:marBottom w:val="0"/>
      <w:divBdr>
        <w:top w:val="none" w:sz="0" w:space="0" w:color="auto"/>
        <w:left w:val="none" w:sz="0" w:space="0" w:color="auto"/>
        <w:bottom w:val="none" w:sz="0" w:space="0" w:color="auto"/>
        <w:right w:val="none" w:sz="0" w:space="0" w:color="auto"/>
      </w:divBdr>
    </w:div>
    <w:div w:id="86704900">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109977515">
      <w:bodyDiv w:val="1"/>
      <w:marLeft w:val="0"/>
      <w:marRight w:val="0"/>
      <w:marTop w:val="0"/>
      <w:marBottom w:val="0"/>
      <w:divBdr>
        <w:top w:val="none" w:sz="0" w:space="0" w:color="auto"/>
        <w:left w:val="none" w:sz="0" w:space="0" w:color="auto"/>
        <w:bottom w:val="none" w:sz="0" w:space="0" w:color="auto"/>
        <w:right w:val="none" w:sz="0" w:space="0" w:color="auto"/>
      </w:divBdr>
      <w:divsChild>
        <w:div w:id="140272170">
          <w:marLeft w:val="0"/>
          <w:marRight w:val="0"/>
          <w:marTop w:val="0"/>
          <w:marBottom w:val="0"/>
          <w:divBdr>
            <w:top w:val="none" w:sz="0" w:space="0" w:color="auto"/>
            <w:left w:val="none" w:sz="0" w:space="0" w:color="auto"/>
            <w:bottom w:val="none" w:sz="0" w:space="0" w:color="auto"/>
            <w:right w:val="none" w:sz="0" w:space="0" w:color="auto"/>
          </w:divBdr>
        </w:div>
        <w:div w:id="219169280">
          <w:marLeft w:val="0"/>
          <w:marRight w:val="0"/>
          <w:marTop w:val="0"/>
          <w:marBottom w:val="0"/>
          <w:divBdr>
            <w:top w:val="none" w:sz="0" w:space="0" w:color="auto"/>
            <w:left w:val="none" w:sz="0" w:space="0" w:color="auto"/>
            <w:bottom w:val="none" w:sz="0" w:space="0" w:color="auto"/>
            <w:right w:val="none" w:sz="0" w:space="0" w:color="auto"/>
          </w:divBdr>
        </w:div>
        <w:div w:id="634409940">
          <w:marLeft w:val="0"/>
          <w:marRight w:val="0"/>
          <w:marTop w:val="0"/>
          <w:marBottom w:val="0"/>
          <w:divBdr>
            <w:top w:val="none" w:sz="0" w:space="0" w:color="auto"/>
            <w:left w:val="none" w:sz="0" w:space="0" w:color="auto"/>
            <w:bottom w:val="none" w:sz="0" w:space="0" w:color="auto"/>
            <w:right w:val="none" w:sz="0" w:space="0" w:color="auto"/>
          </w:divBdr>
        </w:div>
      </w:divsChild>
    </w:div>
    <w:div w:id="147981496">
      <w:bodyDiv w:val="1"/>
      <w:marLeft w:val="0"/>
      <w:marRight w:val="0"/>
      <w:marTop w:val="0"/>
      <w:marBottom w:val="0"/>
      <w:divBdr>
        <w:top w:val="none" w:sz="0" w:space="0" w:color="auto"/>
        <w:left w:val="none" w:sz="0" w:space="0" w:color="auto"/>
        <w:bottom w:val="none" w:sz="0" w:space="0" w:color="auto"/>
        <w:right w:val="none" w:sz="0" w:space="0" w:color="auto"/>
      </w:divBdr>
    </w:div>
    <w:div w:id="154997906">
      <w:bodyDiv w:val="1"/>
      <w:marLeft w:val="0"/>
      <w:marRight w:val="0"/>
      <w:marTop w:val="0"/>
      <w:marBottom w:val="0"/>
      <w:divBdr>
        <w:top w:val="none" w:sz="0" w:space="0" w:color="auto"/>
        <w:left w:val="none" w:sz="0" w:space="0" w:color="auto"/>
        <w:bottom w:val="none" w:sz="0" w:space="0" w:color="auto"/>
        <w:right w:val="none" w:sz="0" w:space="0" w:color="auto"/>
      </w:divBdr>
      <w:divsChild>
        <w:div w:id="1872569460">
          <w:marLeft w:val="-240"/>
          <w:marRight w:val="-240"/>
          <w:marTop w:val="0"/>
          <w:marBottom w:val="0"/>
          <w:divBdr>
            <w:top w:val="none" w:sz="0" w:space="0" w:color="auto"/>
            <w:left w:val="none" w:sz="0" w:space="0" w:color="auto"/>
            <w:bottom w:val="none" w:sz="0" w:space="0" w:color="auto"/>
            <w:right w:val="none" w:sz="0" w:space="0" w:color="auto"/>
          </w:divBdr>
          <w:divsChild>
            <w:div w:id="9023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50">
      <w:bodyDiv w:val="1"/>
      <w:marLeft w:val="0"/>
      <w:marRight w:val="0"/>
      <w:marTop w:val="0"/>
      <w:marBottom w:val="0"/>
      <w:divBdr>
        <w:top w:val="none" w:sz="0" w:space="0" w:color="auto"/>
        <w:left w:val="none" w:sz="0" w:space="0" w:color="auto"/>
        <w:bottom w:val="none" w:sz="0" w:space="0" w:color="auto"/>
        <w:right w:val="none" w:sz="0" w:space="0" w:color="auto"/>
      </w:divBdr>
    </w:div>
    <w:div w:id="434641163">
      <w:bodyDiv w:val="1"/>
      <w:marLeft w:val="0"/>
      <w:marRight w:val="0"/>
      <w:marTop w:val="0"/>
      <w:marBottom w:val="0"/>
      <w:divBdr>
        <w:top w:val="none" w:sz="0" w:space="0" w:color="auto"/>
        <w:left w:val="none" w:sz="0" w:space="0" w:color="auto"/>
        <w:bottom w:val="none" w:sz="0" w:space="0" w:color="auto"/>
        <w:right w:val="none" w:sz="0" w:space="0" w:color="auto"/>
      </w:divBdr>
      <w:divsChild>
        <w:div w:id="637420912">
          <w:marLeft w:val="0"/>
          <w:marRight w:val="0"/>
          <w:marTop w:val="0"/>
          <w:marBottom w:val="0"/>
          <w:divBdr>
            <w:top w:val="none" w:sz="0" w:space="0" w:color="auto"/>
            <w:left w:val="none" w:sz="0" w:space="0" w:color="auto"/>
            <w:bottom w:val="none" w:sz="0" w:space="0" w:color="auto"/>
            <w:right w:val="none" w:sz="0" w:space="0" w:color="auto"/>
          </w:divBdr>
        </w:div>
        <w:div w:id="1967345947">
          <w:marLeft w:val="0"/>
          <w:marRight w:val="0"/>
          <w:marTop w:val="0"/>
          <w:marBottom w:val="0"/>
          <w:divBdr>
            <w:top w:val="none" w:sz="0" w:space="0" w:color="auto"/>
            <w:left w:val="none" w:sz="0" w:space="0" w:color="auto"/>
            <w:bottom w:val="none" w:sz="0" w:space="0" w:color="auto"/>
            <w:right w:val="none" w:sz="0" w:space="0" w:color="auto"/>
          </w:divBdr>
        </w:div>
        <w:div w:id="1997952794">
          <w:marLeft w:val="0"/>
          <w:marRight w:val="0"/>
          <w:marTop w:val="0"/>
          <w:marBottom w:val="0"/>
          <w:divBdr>
            <w:top w:val="none" w:sz="0" w:space="0" w:color="auto"/>
            <w:left w:val="none" w:sz="0" w:space="0" w:color="auto"/>
            <w:bottom w:val="none" w:sz="0" w:space="0" w:color="auto"/>
            <w:right w:val="none" w:sz="0" w:space="0" w:color="auto"/>
          </w:divBdr>
        </w:div>
      </w:divsChild>
    </w:div>
    <w:div w:id="584073945">
      <w:bodyDiv w:val="1"/>
      <w:marLeft w:val="0"/>
      <w:marRight w:val="0"/>
      <w:marTop w:val="0"/>
      <w:marBottom w:val="0"/>
      <w:divBdr>
        <w:top w:val="none" w:sz="0" w:space="0" w:color="auto"/>
        <w:left w:val="none" w:sz="0" w:space="0" w:color="auto"/>
        <w:bottom w:val="none" w:sz="0" w:space="0" w:color="auto"/>
        <w:right w:val="none" w:sz="0" w:space="0" w:color="auto"/>
      </w:divBdr>
    </w:div>
    <w:div w:id="817576738">
      <w:bodyDiv w:val="1"/>
      <w:marLeft w:val="0"/>
      <w:marRight w:val="0"/>
      <w:marTop w:val="0"/>
      <w:marBottom w:val="0"/>
      <w:divBdr>
        <w:top w:val="none" w:sz="0" w:space="0" w:color="auto"/>
        <w:left w:val="none" w:sz="0" w:space="0" w:color="auto"/>
        <w:bottom w:val="none" w:sz="0" w:space="0" w:color="auto"/>
        <w:right w:val="none" w:sz="0" w:space="0" w:color="auto"/>
      </w:divBdr>
    </w:div>
    <w:div w:id="970482181">
      <w:bodyDiv w:val="1"/>
      <w:marLeft w:val="0"/>
      <w:marRight w:val="0"/>
      <w:marTop w:val="0"/>
      <w:marBottom w:val="0"/>
      <w:divBdr>
        <w:top w:val="none" w:sz="0" w:space="0" w:color="auto"/>
        <w:left w:val="none" w:sz="0" w:space="0" w:color="auto"/>
        <w:bottom w:val="none" w:sz="0" w:space="0" w:color="auto"/>
        <w:right w:val="none" w:sz="0" w:space="0" w:color="auto"/>
      </w:divBdr>
    </w:div>
    <w:div w:id="1023480062">
      <w:bodyDiv w:val="1"/>
      <w:marLeft w:val="0"/>
      <w:marRight w:val="0"/>
      <w:marTop w:val="0"/>
      <w:marBottom w:val="0"/>
      <w:divBdr>
        <w:top w:val="none" w:sz="0" w:space="0" w:color="auto"/>
        <w:left w:val="none" w:sz="0" w:space="0" w:color="auto"/>
        <w:bottom w:val="none" w:sz="0" w:space="0" w:color="auto"/>
        <w:right w:val="none" w:sz="0" w:space="0" w:color="auto"/>
      </w:divBdr>
    </w:div>
    <w:div w:id="1190218631">
      <w:bodyDiv w:val="1"/>
      <w:marLeft w:val="0"/>
      <w:marRight w:val="0"/>
      <w:marTop w:val="0"/>
      <w:marBottom w:val="0"/>
      <w:divBdr>
        <w:top w:val="none" w:sz="0" w:space="0" w:color="auto"/>
        <w:left w:val="none" w:sz="0" w:space="0" w:color="auto"/>
        <w:bottom w:val="none" w:sz="0" w:space="0" w:color="auto"/>
        <w:right w:val="none" w:sz="0" w:space="0" w:color="auto"/>
      </w:divBdr>
    </w:div>
    <w:div w:id="1304196558">
      <w:bodyDiv w:val="1"/>
      <w:marLeft w:val="0"/>
      <w:marRight w:val="0"/>
      <w:marTop w:val="0"/>
      <w:marBottom w:val="0"/>
      <w:divBdr>
        <w:top w:val="none" w:sz="0" w:space="0" w:color="auto"/>
        <w:left w:val="none" w:sz="0" w:space="0" w:color="auto"/>
        <w:bottom w:val="none" w:sz="0" w:space="0" w:color="auto"/>
        <w:right w:val="none" w:sz="0" w:space="0" w:color="auto"/>
      </w:divBdr>
    </w:div>
    <w:div w:id="1882941415">
      <w:bodyDiv w:val="1"/>
      <w:marLeft w:val="0"/>
      <w:marRight w:val="0"/>
      <w:marTop w:val="0"/>
      <w:marBottom w:val="0"/>
      <w:divBdr>
        <w:top w:val="none" w:sz="0" w:space="0" w:color="auto"/>
        <w:left w:val="none" w:sz="0" w:space="0" w:color="auto"/>
        <w:bottom w:val="none" w:sz="0" w:space="0" w:color="auto"/>
        <w:right w:val="none" w:sz="0" w:space="0" w:color="auto"/>
      </w:divBdr>
    </w:div>
    <w:div w:id="1980379109">
      <w:bodyDiv w:val="1"/>
      <w:marLeft w:val="0"/>
      <w:marRight w:val="0"/>
      <w:marTop w:val="0"/>
      <w:marBottom w:val="0"/>
      <w:divBdr>
        <w:top w:val="none" w:sz="0" w:space="0" w:color="auto"/>
        <w:left w:val="none" w:sz="0" w:space="0" w:color="auto"/>
        <w:bottom w:val="none" w:sz="0" w:space="0" w:color="auto"/>
        <w:right w:val="none" w:sz="0" w:space="0" w:color="auto"/>
      </w:divBdr>
    </w:div>
    <w:div w:id="2066682547">
      <w:bodyDiv w:val="1"/>
      <w:marLeft w:val="0"/>
      <w:marRight w:val="0"/>
      <w:marTop w:val="0"/>
      <w:marBottom w:val="0"/>
      <w:divBdr>
        <w:top w:val="none" w:sz="0" w:space="0" w:color="auto"/>
        <w:left w:val="none" w:sz="0" w:space="0" w:color="auto"/>
        <w:bottom w:val="none" w:sz="0" w:space="0" w:color="auto"/>
        <w:right w:val="none" w:sz="0" w:space="0" w:color="auto"/>
      </w:divBdr>
      <w:divsChild>
        <w:div w:id="1882593872">
          <w:marLeft w:val="0"/>
          <w:marRight w:val="0"/>
          <w:marTop w:val="0"/>
          <w:marBottom w:val="0"/>
          <w:divBdr>
            <w:top w:val="none" w:sz="0" w:space="0" w:color="auto"/>
            <w:left w:val="none" w:sz="0" w:space="0" w:color="auto"/>
            <w:bottom w:val="none" w:sz="0" w:space="0" w:color="auto"/>
            <w:right w:val="none" w:sz="0" w:space="0" w:color="auto"/>
          </w:divBdr>
        </w:div>
        <w:div w:id="2107311664">
          <w:marLeft w:val="0"/>
          <w:marRight w:val="0"/>
          <w:marTop w:val="0"/>
          <w:marBottom w:val="0"/>
          <w:divBdr>
            <w:top w:val="none" w:sz="0" w:space="0" w:color="auto"/>
            <w:left w:val="none" w:sz="0" w:space="0" w:color="auto"/>
            <w:bottom w:val="none" w:sz="0" w:space="0" w:color="auto"/>
            <w:right w:val="none" w:sz="0" w:space="0" w:color="auto"/>
          </w:divBdr>
        </w:div>
      </w:divsChild>
    </w:div>
    <w:div w:id="2092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cienciaseconomicas.unan.edu.ni/index.php/REICE" TargetMode="External"/><Relationship Id="rId13" Type="http://schemas.openxmlformats.org/officeDocument/2006/relationships/hyperlink" Target="https://orcid.org/0000-0001-7348-8199"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r.v.kuznetsov@bk.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reativecommons.org/licenses/by-nc-sa/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7630-2222"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Sadovnikova.NA@rea.r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revistacienciaseconomicas@gmail.com" TargetMode="External"/><Relationship Id="rId14" Type="http://schemas.openxmlformats.org/officeDocument/2006/relationships/hyperlink" Target="http://creativecommons.org/licenses/by-nc-sa/4.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Dom10</b:Tag>
    <b:SourceType>BookSection</b:SourceType>
    <b:Guid>{340939C7-71FD-477A-A494-1B2795473E57}</b:Guid>
    <b:Title>ECONOMETRIA</b:Title>
    <b:Year>2010</b:Year>
    <b:Author>
      <b:Author>
        <b:NameList>
          <b:Person>
            <b:Last>Gujarati</b:Last>
            <b:First>Domador</b:First>
          </b:Person>
        </b:NameList>
      </b:Author>
    </b:Author>
    <b:RefOrder>1</b:RefOrder>
  </b:Source>
  <b:Source>
    <b:Tag>BCN025</b:Tag>
    <b:SourceType>Report</b:SourceType>
    <b:Guid>{E24B8021-F8ED-4FDA-964C-90BD1704BEF2}</b:Guid>
    <b:Title>Perfil del Pais: Nicaragua</b:Title>
    <b:Year>2002</b:Year>
    <b:Author>
      <b:Author>
        <b:NameList>
          <b:Person>
            <b:Last>BCN</b:Last>
          </b:Person>
        </b:NameList>
      </b:Author>
    </b:Author>
    <b:RefOrder>8</b:RefOrder>
  </b:Source>
  <b:Source>
    <b:Tag>BCN034</b:Tag>
    <b:SourceType>Report</b:SourceType>
    <b:Guid>{32E344E2-7B16-468E-8C3D-663C4E02BF83}</b:Guid>
    <b:Author>
      <b:Author>
        <b:NameList>
          <b:Person>
            <b:Last>BCN</b:Last>
          </b:Person>
        </b:NameList>
      </b:Author>
    </b:Author>
    <b:Title>Perfil de pais: Niacargua</b:Title>
    <b:Year>2003</b:Year>
    <b:RefOrder>9</b:RefOrder>
  </b:Source>
  <b:Source>
    <b:Tag>UNI09</b:Tag>
    <b:SourceType>Report</b:SourceType>
    <b:Guid>{3CC29284-CD59-4B35-917C-5F5868918C72}</b:Guid>
    <b:Author>
      <b:Author>
        <b:NameList>
          <b:Person>
            <b:Last>UNICEF</b:Last>
          </b:Person>
        </b:NameList>
      </b:Author>
    </b:Author>
    <b:Title>Documento del programa del país.</b:Title>
    <b:Year>2009</b:Year>
    <b:RefOrder>13</b:RefOrder>
  </b:Source>
  <b:Source>
    <b:Tag>UNI10</b:Tag>
    <b:SourceType>Report</b:SourceType>
    <b:Guid>{DB19ECCD-B297-4D5B-9721-F370923E02CF}</b:Guid>
    <b:Title>Documento del programa del pais</b:Title>
    <b:Year>2010</b:Year>
    <b:Author>
      <b:Author>
        <b:NameList>
          <b:Person>
            <b:Last>UNICEF</b:Last>
          </b:Person>
        </b:NameList>
      </b:Author>
    </b:Author>
    <b:RefOrder>14</b:RefOrder>
  </b:Source>
  <b:Source>
    <b:Tag>OPS13</b:Tag>
    <b:SourceType>Report</b:SourceType>
    <b:Guid>{D337727F-5272-4473-9C08-00F07F722F60}</b:Guid>
    <b:Author>
      <b:Author>
        <b:NameList>
          <b:Person>
            <b:Last>OPS</b:Last>
          </b:Person>
        </b:NameList>
      </b:Author>
    </b:Author>
    <b:Title>Perfil del pais Nicaragua</b:Title>
    <b:Year>2013</b:Year>
    <b:RefOrder>15</b:RefOrder>
  </b:Source>
  <b:Source>
    <b:Tag>OPS16</b:Tag>
    <b:SourceType>Report</b:SourceType>
    <b:Guid>{209B2EDA-8442-45B4-B240-BF4FA3F44521}</b:Guid>
    <b:Author>
      <b:Author>
        <b:NameList>
          <b:Person>
            <b:Last>OPS</b:Last>
          </b:Person>
        </b:NameList>
      </b:Author>
    </b:Author>
    <b:Title>Perfil del pais: Nicaragua</b:Title>
    <b:Year>2016</b:Year>
    <b:RefOrder>16</b:RefOrder>
  </b:Source>
  <b:Source>
    <b:Tag>OMS17</b:Tag>
    <b:SourceType>Report</b:SourceType>
    <b:Guid>{ADC2C1A3-670F-4ED5-B4A4-AC300E38E40F}</b:Guid>
    <b:Author>
      <b:Author>
        <b:NameList>
          <b:Person>
            <b:Last>OMS</b:Last>
          </b:Person>
        </b:NameList>
      </b:Author>
    </b:Author>
    <b:Title>Estrategia de planificacion </b:Title>
    <b:Year>2017</b:Year>
    <b:RefOrder>17</b:RefOrder>
  </b:Source>
  <b:Source>
    <b:Tag>OMS19</b:Tag>
    <b:SourceType>InternetSite</b:SourceType>
    <b:Guid>{EBE763BD-516B-4702-A5DF-3F6B6FAD122B}</b:Guid>
    <b:Title>Organización mundial de la salud</b:Title>
    <b:Year>2019</b:Year>
    <b:Author>
      <b:Author>
        <b:NameList>
          <b:Person>
            <b:Last>OMS</b:Last>
          </b:Person>
        </b:NameList>
      </b:Author>
    </b:Author>
    <b:Month>septiembre</b:Month>
    <b:Day>19</b:Day>
    <b:URL>https://www.who.int/es/news/item/19-09-2019-more-women-and-children-survive-today-than-ever-before-un-report#:~:text=Sin%20embargo%2C%20las%20nuevas%20estimaciones,y%20el%20parto%20en%202017.</b:URL>
    <b:RefOrder>18</b:RefOrder>
  </b:Source>
  <b:Source>
    <b:Tag>BCN00</b:Tag>
    <b:SourceType>Report</b:SourceType>
    <b:Guid>{971AAF38-C668-4AD0-B791-4A67785BAD7A}</b:Guid>
    <b:Author>
      <b:Author>
        <b:NameList>
          <b:Person>
            <b:Last>BCN</b:Last>
          </b:Person>
        </b:NameList>
      </b:Author>
    </b:Author>
    <b:Title>Informe Anual</b:Title>
    <b:Year>2000</b:Year>
    <b:City>Managua</b:City>
    <b:RefOrder>19</b:RefOrder>
  </b:Source>
  <b:Source>
    <b:Tag>BCN01</b:Tag>
    <b:SourceType>Report</b:SourceType>
    <b:Guid>{08516B75-CFA6-4CF6-95EE-1B6D449159E3}</b:Guid>
    <b:Author>
      <b:Author>
        <b:NameList>
          <b:Person>
            <b:Last>BCN</b:Last>
          </b:Person>
        </b:NameList>
      </b:Author>
    </b:Author>
    <b:Title>Informe Anual</b:Title>
    <b:Year>2001</b:Year>
    <b:City>Managua</b:City>
    <b:RefOrder>20</b:RefOrder>
  </b:Source>
  <b:Source>
    <b:Tag>BCN021</b:Tag>
    <b:SourceType>Report</b:SourceType>
    <b:Guid>{A0D6819E-ABA8-47F6-A6B1-498C2A5B14CF}</b:Guid>
    <b:Author>
      <b:Author>
        <b:NameList>
          <b:Person>
            <b:Last>BCN</b:Last>
          </b:Person>
        </b:NameList>
      </b:Author>
    </b:Author>
    <b:Title>Informe anual</b:Title>
    <b:Year>2002</b:Year>
    <b:City>Managua</b:City>
    <b:RefOrder>21</b:RefOrder>
  </b:Source>
  <b:Source>
    <b:Tag>BCN03</b:Tag>
    <b:SourceType>Report</b:SourceType>
    <b:Guid>{1375A6D7-C5E4-49B3-BFF6-1EDC436B90C7}</b:Guid>
    <b:Author>
      <b:Author>
        <b:NameList>
          <b:Person>
            <b:Last>BCN</b:Last>
          </b:Person>
        </b:NameList>
      </b:Author>
    </b:Author>
    <b:Title>Informe anual</b:Title>
    <b:Year>2003</b:Year>
    <b:City>Managua</b:City>
    <b:RefOrder>22</b:RefOrder>
  </b:Source>
  <b:Source>
    <b:Tag>BCN04</b:Tag>
    <b:SourceType>Report</b:SourceType>
    <b:Guid>{13B302DF-E4E9-40A5-B471-500B3063703E}</b:Guid>
    <b:Author>
      <b:Author>
        <b:NameList>
          <b:Person>
            <b:Last>BCN</b:Last>
          </b:Person>
        </b:NameList>
      </b:Author>
    </b:Author>
    <b:Title>Informe anual</b:Title>
    <b:Year>2004</b:Year>
    <b:City>Managua</b:City>
    <b:RefOrder>23</b:RefOrder>
  </b:Source>
  <b:Source>
    <b:Tag>BCN95</b:Tag>
    <b:SourceType>Report</b:SourceType>
    <b:Guid>{7DC18A85-B628-4C75-B66A-37D54EF6E717}</b:Guid>
    <b:Title>Informe anual</b:Title>
    <b:Year>2005</b:Year>
    <b:Author>
      <b:Author>
        <b:NameList>
          <b:Person>
            <b:Last>BCN</b:Last>
          </b:Person>
        </b:NameList>
      </b:Author>
    </b:Author>
    <b:Month>abril</b:Month>
    <b:City>Managua</b:City>
    <b:RefOrder>24</b:RefOrder>
  </b:Source>
  <b:Source>
    <b:Tag>BCN06</b:Tag>
    <b:SourceType>Report</b:SourceType>
    <b:Guid>{F15AC247-41D8-42CF-9C32-73AB2E7ABC90}</b:Guid>
    <b:Author>
      <b:Author>
        <b:NameList>
          <b:Person>
            <b:Last>BCN</b:Last>
          </b:Person>
        </b:NameList>
      </b:Author>
    </b:Author>
    <b:Title>Informe anual</b:Title>
    <b:Year>2006</b:Year>
    <b:City>Managua</b:City>
    <b:RefOrder>25</b:RefOrder>
  </b:Source>
  <b:Source>
    <b:Tag>BCN07</b:Tag>
    <b:SourceType>Report</b:SourceType>
    <b:Guid>{E6F23FD1-8BA7-4A60-9ED7-17BCED640F6A}</b:Guid>
    <b:Author>
      <b:Author>
        <b:NameList>
          <b:Person>
            <b:Last>BCN</b:Last>
          </b:Person>
        </b:NameList>
      </b:Author>
    </b:Author>
    <b:Title>Informe anual</b:Title>
    <b:Year>2007</b:Year>
    <b:City>Managua</b:City>
    <b:RefOrder>26</b:RefOrder>
  </b:Source>
  <b:Source>
    <b:Tag>BCN08</b:Tag>
    <b:SourceType>Report</b:SourceType>
    <b:Guid>{2F872D0A-4BA2-414C-9D14-636288583DDA}</b:Guid>
    <b:Author>
      <b:Author>
        <b:NameList>
          <b:Person>
            <b:Last>BCN</b:Last>
          </b:Person>
        </b:NameList>
      </b:Author>
    </b:Author>
    <b:Title>Informe anual</b:Title>
    <b:Year>2008</b:Year>
    <b:City>Managua</b:City>
    <b:RefOrder>27</b:RefOrder>
  </b:Source>
  <b:Source>
    <b:Tag>BCN09</b:Tag>
    <b:SourceType>Report</b:SourceType>
    <b:Guid>{7642979D-9502-4CE3-9153-75054EB52EAC}</b:Guid>
    <b:Author>
      <b:Author>
        <b:NameList>
          <b:Person>
            <b:Last>BCN</b:Last>
          </b:Person>
        </b:NameList>
      </b:Author>
    </b:Author>
    <b:Title>Informe anual</b:Title>
    <b:Year>2009</b:Year>
    <b:City>Managua</b:City>
    <b:RefOrder>28</b:RefOrder>
  </b:Source>
  <b:Source>
    <b:Tag>BCN10</b:Tag>
    <b:SourceType>Report</b:SourceType>
    <b:Guid>{50172A08-1E71-4F0C-94CE-0132C03B9F20}</b:Guid>
    <b:Author>
      <b:Author>
        <b:NameList>
          <b:Person>
            <b:Last>BCN</b:Last>
          </b:Person>
        </b:NameList>
      </b:Author>
    </b:Author>
    <b:Title>Informe anual</b:Title>
    <b:Year>2010</b:Year>
    <b:City>Managua</b:City>
    <b:RefOrder>29</b:RefOrder>
  </b:Source>
  <b:Source>
    <b:Tag>BCN11</b:Tag>
    <b:SourceType>Report</b:SourceType>
    <b:Guid>{2CD4D5F3-12A6-410C-A925-6D9BB3E64B38}</b:Guid>
    <b:Author>
      <b:Author>
        <b:NameList>
          <b:Person>
            <b:Last>BCN</b:Last>
          </b:Person>
        </b:NameList>
      </b:Author>
    </b:Author>
    <b:Title>Informe anual</b:Title>
    <b:Year>2011</b:Year>
    <b:City>Managua</b:City>
    <b:RefOrder>30</b:RefOrder>
  </b:Source>
  <b:Source>
    <b:Tag>BCN13</b:Tag>
    <b:SourceType>Report</b:SourceType>
    <b:Guid>{D608EB0F-6C8A-4A5B-A539-C362E430F4DB}</b:Guid>
    <b:Author>
      <b:Author>
        <b:NameList>
          <b:Person>
            <b:Last>BCN</b:Last>
          </b:Person>
        </b:NameList>
      </b:Author>
    </b:Author>
    <b:Title>Informe anual</b:Title>
    <b:Year>2012</b:Year>
    <b:City>Managua</b:City>
    <b:RefOrder>31</b:RefOrder>
  </b:Source>
  <b:Source>
    <b:Tag>BCN131</b:Tag>
    <b:SourceType>Report</b:SourceType>
    <b:Guid>{5740343B-571F-4CAB-B9A9-3D2528E4514B}</b:Guid>
    <b:Author>
      <b:Author>
        <b:NameList>
          <b:Person>
            <b:Last>BCN</b:Last>
          </b:Person>
        </b:NameList>
      </b:Author>
    </b:Author>
    <b:Title>Informe anual</b:Title>
    <b:Year>2013</b:Year>
    <b:City>Managua</b:City>
    <b:RefOrder>32</b:RefOrder>
  </b:Source>
  <b:Source>
    <b:Tag>BCN141</b:Tag>
    <b:SourceType>Report</b:SourceType>
    <b:Guid>{C5D4B2A8-52FF-409E-9441-207A008031DB}</b:Guid>
    <b:Author>
      <b:Author>
        <b:NameList>
          <b:Person>
            <b:Last>BCN</b:Last>
          </b:Person>
        </b:NameList>
      </b:Author>
    </b:Author>
    <b:Title>Informe anual</b:Title>
    <b:Year>2014</b:Year>
    <b:City>Managua</b:City>
    <b:RefOrder>33</b:RefOrder>
  </b:Source>
  <b:Source>
    <b:Tag>BCN15</b:Tag>
    <b:SourceType>Report</b:SourceType>
    <b:Guid>{98A18EA2-5739-44A6-95C8-F77B0937B1A8}</b:Guid>
    <b:Author>
      <b:Author>
        <b:NameList>
          <b:Person>
            <b:Last>BCN</b:Last>
          </b:Person>
        </b:NameList>
      </b:Author>
    </b:Author>
    <b:Title>Informe anual</b:Title>
    <b:Year>2015</b:Year>
    <b:City>Managua</b:City>
    <b:RefOrder>34</b:RefOrder>
  </b:Source>
  <b:Source>
    <b:Tag>BCN16</b:Tag>
    <b:SourceType>Report</b:SourceType>
    <b:Guid>{F1B8B1BC-F86A-4BFA-9313-BBA04FB50D82}</b:Guid>
    <b:Author>
      <b:Author>
        <b:NameList>
          <b:Person>
            <b:Last>BCN</b:Last>
          </b:Person>
        </b:NameList>
      </b:Author>
    </b:Author>
    <b:Title>Informe anual</b:Title>
    <b:Year>2016</b:Year>
    <b:City>Managua</b:City>
    <b:RefOrder>35</b:RefOrder>
  </b:Source>
  <b:Source>
    <b:Tag>BCN17</b:Tag>
    <b:SourceType>Report</b:SourceType>
    <b:Guid>{E985B739-3244-4DFA-AC77-F76F52A3AC34}</b:Guid>
    <b:Author>
      <b:Author>
        <b:NameList>
          <b:Person>
            <b:Last>BCN</b:Last>
          </b:Person>
        </b:NameList>
      </b:Author>
    </b:Author>
    <b:Title>Informe anual</b:Title>
    <b:Year>2017</b:Year>
    <b:City>Managua</b:City>
    <b:RefOrder>36</b:RefOrder>
  </b:Source>
  <b:Source>
    <b:Tag>MIN04</b:Tag>
    <b:SourceType>Report</b:SourceType>
    <b:Guid>{396E1AE3-9C3D-47E3-ADC6-E628DEDEEA17}</b:Guid>
    <b:Author>
      <b:Author>
        <b:NameList>
          <b:Person>
            <b:Last>MECD</b:Last>
          </b:Person>
        </b:NameList>
      </b:Author>
    </b:Author>
    <b:Title>Informe de progreso educativo</b:Title>
    <b:Year>2002</b:Year>
    <b:Publisher>La prensa</b:Publisher>
    <b:City>Managua</b:City>
    <b:RefOrder>47</b:RefOrder>
  </b:Source>
  <b:Source>
    <b:Tag>MIN07</b:Tag>
    <b:SourceType>Report</b:SourceType>
    <b:Guid>{0C2FA347-3639-450C-BC0B-0285784076AE}</b:Guid>
    <b:Author>
      <b:Author>
        <b:NameList>
          <b:Person>
            <b:Last>MINED</b:Last>
          </b:Person>
        </b:NameList>
      </b:Author>
    </b:Author>
    <b:Title>Informe de progreso educativo</b:Title>
    <b:Year>2007</b:Year>
    <b:City>Managua</b:City>
    <b:RefOrder>49</b:RefOrder>
  </b:Source>
  <b:Source>
    <b:Tag>CEP09</b:Tag>
    <b:SourceType>Report</b:SourceType>
    <b:Guid>{BF930E17-6E31-497D-87F4-F5EF33348E3E}</b:Guid>
    <b:Title>Politicas sociales</b:Title>
    <b:Year>2009</b:Year>
    <b:Author>
      <b:Author>
        <b:NameList>
          <b:Person>
            <b:Last>CEPAL</b:Last>
          </b:Person>
        </b:NameList>
      </b:Author>
    </b:Author>
    <b:City>Santiago de Chile</b:City>
    <b:RefOrder>50</b:RefOrder>
  </b:Source>
  <b:Source>
    <b:Tag>MIN11</b:Tag>
    <b:SourceType>Report</b:SourceType>
    <b:Guid>{AA50A7CF-90C8-4F20-A257-B555BB333274}</b:Guid>
    <b:Author>
      <b:Author>
        <b:NameList>
          <b:Person>
            <b:Last>MINED</b:Last>
          </b:Person>
        </b:NameList>
      </b:Author>
    </b:Author>
    <b:Title>Plan Estratégico de Educación, 2011-2015</b:Title>
    <b:Year>2011</b:Year>
    <b:City>Managua</b:City>
    <b:RefOrder>52</b:RefOrder>
  </b:Source>
  <b:Source>
    <b:Tag>Mel13</b:Tag>
    <b:SourceType>Report</b:SourceType>
    <b:Guid>{DF7F27CF-04FE-498E-813C-8457C505789D}</b:Guid>
    <b:Author>
      <b:Author>
        <b:NameList>
          <b:Person>
            <b:Last>Castillo</b:Last>
            <b:First>Melba</b:First>
          </b:Person>
        </b:NameList>
      </b:Author>
    </b:Author>
    <b:Title>Politicas docentes en centroamerica. Tendencias nacionales: Nicaragua.</b:Title>
    <b:Year>2013</b:Year>
    <b:RefOrder>53</b:RefOrder>
  </b:Source>
  <b:Source>
    <b:Tag>MIN14</b:Tag>
    <b:SourceType>Report</b:SourceType>
    <b:Guid>{351F2A24-FE6B-4972-8B41-876A96B69650}</b:Guid>
    <b:Author>
      <b:Author>
        <b:NameList>
          <b:Person>
            <b:Last>MINED</b:Last>
          </b:Person>
        </b:NameList>
      </b:Author>
    </b:Author>
    <b:Title>Informe de progreso educativo.</b:Title>
    <b:Year>2014</b:Year>
    <b:City>Managua</b:City>
    <b:RefOrder>54</b:RefOrder>
  </b:Source>
  <b:Source>
    <b:Tag>Exp17</b:Tag>
    <b:SourceType>InternetSite</b:SourceType>
    <b:Guid>{995CE439-02A0-4B1D-8451-98B8B87C82C9}</b:Guid>
    <b:Title>Datos macro</b:Title>
    <b:Year>2017</b:Year>
    <b:Author>
      <b:Author>
        <b:NameList>
          <b:Person>
            <b:Last>Expansión</b:Last>
          </b:Person>
        </b:NameList>
      </b:Author>
    </b:Author>
    <b:URL>https://datosmacro.expansion.com/estado/gasto/educacion/nicaragua</b:URL>
    <b:RefOrder>56</b:RefOrder>
  </b:Source>
  <b:Source>
    <b:Tag>CEP18</b:Tag>
    <b:SourceType>Report</b:SourceType>
    <b:Guid>{2AA87565-9A87-45E9-90A0-DA10D041957B}</b:Guid>
    <b:Title>Gastos en salud, crecimiento económico y mortalidad infantil: Antecedentes de países desarrollados y en desarrollo.</b:Title>
    <b:Year>2018</b:Year>
    <b:Author>
      <b:Author>
        <b:NameList>
          <b:Person>
            <b:Last>CEPAL</b:Last>
          </b:Person>
        </b:NameList>
      </b:Author>
    </b:Author>
    <b:RefOrder>4</b:RefOrder>
  </b:Source>
  <b:Source>
    <b:Tag>Pab14</b:Tag>
    <b:SourceType>Report</b:SourceType>
    <b:Guid>{5AFF0F7C-BEA0-4AA2-B409-49F2392A1CD7}</b:Guid>
    <b:Author>
      <b:Author>
        <b:NameList>
          <b:Person>
            <b:Last>Monterubbianesi</b:Last>
            <b:First>Pablo</b:First>
            <b:Middle>Daniel</b:Middle>
          </b:Person>
        </b:NameList>
      </b:Author>
    </b:Author>
    <b:Title>Salus y crecimiento económico: Influencias teóricas y vinculaciones empíricas</b:Title>
    <b:Year>2014</b:Year>
    <b:City>Argentina</b:City>
    <b:RefOrder>2</b:RefOrder>
  </b:Source>
  <b:Source>
    <b:Tag>Alf11</b:Tag>
    <b:SourceType>DocumentFromInternetSite</b:SourceType>
    <b:Guid>{5D59E4C1-3727-43A5-BDCF-ADE9D0831F92}</b:Guid>
    <b:Title>CRECIMIENTO ECONÓMICO, DESIGUALDAD Y POBREZA</b:Title>
    <b:Year>2011</b:Year>
    <b:Month>junio</b:Month>
    <b:Day>21</b:Day>
    <b:URL>https://www.ucm.es/data/cont/docs/518-2013-11-27-Ponencia%20210611.pdf</b:URL>
    <b:Author>
      <b:Author>
        <b:NameList>
          <b:Person>
            <b:Last>Novales</b:Last>
            <b:First>Alfonso</b:First>
          </b:Person>
        </b:NameList>
      </b:Author>
    </b:Author>
    <b:RefOrder>58</b:RefOrder>
  </b:Source>
  <b:Source>
    <b:Tag>OMS</b:Tag>
    <b:SourceType>Report</b:SourceType>
    <b:Guid>{E1E0D94A-2803-41EA-8471-3E31B4CCC023}</b:Guid>
    <b:Author>
      <b:Author>
        <b:NameList>
          <b:Person>
            <b:Last>OMS</b:Last>
          </b:Person>
        </b:NameList>
      </b:Author>
    </b:Author>
    <b:Year>2017</b:Year>
    <b:Title>Estrategia de planificaión</b:Title>
    <b:RefOrder>59</b:RefOrder>
  </b:Source>
  <b:Source>
    <b:Tag>Roc19</b:Tag>
    <b:SourceType>InternetSite</b:SourceType>
    <b:Guid>{FBD69A7D-8965-4489-B881-0CF2DE2FC923}</b:Guid>
    <b:Author>
      <b:Author>
        <b:NameList>
          <b:Person>
            <b:Last>Rocha</b:Last>
            <b:First>Maria</b:First>
            <b:Middle>Jose Martinez</b:Middle>
          </b:Person>
        </b:NameList>
      </b:Author>
    </b:Author>
    <b:Title>El Nuevo Diario</b:Title>
    <b:Year>2019</b:Year>
    <b:Month>Abril</b:Month>
    <b:Day>01</b:Day>
    <b:URL>https://www.elnuevodiario.com.ni/economia/489040-pib-nicaragua-crisis-banco-central/</b:URL>
    <b:RefOrder>37</b:RefOrder>
  </b:Source>
  <b:Source>
    <b:Tag>Jen10</b:Tag>
    <b:SourceType>Report</b:SourceType>
    <b:Guid>{1450C794-DB61-4DFD-82A1-B6F9B5505E22}</b:Guid>
    <b:Title>Mortalidad materna en adolescentes en el departamento de Matagalpa Nicaragua en el periodo de 1999 al 2008.</b:Title>
    <b:Year>2010</b:Year>
    <b:City>Matagalpa</b:City>
    <b:Author>
      <b:Author>
        <b:NameList>
          <b:Person>
            <b:Last>Téllez</b:Last>
            <b:First>Jeniffer</b:First>
            <b:Middle>Verónica Calvo</b:Middle>
          </b:Person>
        </b:NameList>
      </b:Author>
    </b:Author>
    <b:RefOrder>60</b:RefOrder>
  </b:Source>
  <b:Source>
    <b:Tag>OPS07</b:Tag>
    <b:SourceType>Report</b:SourceType>
    <b:Guid>{24CB5C13-1E75-4155-8729-C20AFA34006F}</b:Guid>
    <b:Author>
      <b:Author>
        <b:NameList>
          <b:Person>
            <b:Last>OPS</b:Last>
          </b:Person>
        </b:NameList>
      </b:Author>
    </b:Author>
    <b:Title>Mortalidad materna en adolecentes y mortalidad infantil en hijos de madres adolecentes en Nicaragua</b:Title>
    <b:Year>2007</b:Year>
    <b:City>Managua</b:City>
    <b:RefOrder>40</b:RefOrder>
  </b:Source>
  <b:Source>
    <b:Tag>OPS171</b:Tag>
    <b:SourceType>Report</b:SourceType>
    <b:Guid>{596D207F-4D6F-47CE-AF18-DC30D9240366}</b:Guid>
    <b:Author>
      <b:Author>
        <b:NameList>
          <b:Person>
            <b:Last>OPS</b:Last>
          </b:Person>
        </b:NameList>
      </b:Author>
    </b:Author>
    <b:Year>2018</b:Year>
    <b:Title>Perfil del pais</b:Title>
    <b:RefOrder>61</b:RefOrder>
  </b:Source>
  <b:Source>
    <b:Tag>Ana18</b:Tag>
    <b:SourceType>Report</b:SourceType>
    <b:Guid>{6A799EC5-B0E4-473C-B94C-4E686C5E0F73}</b:Guid>
    <b:Author>
      <b:Author>
        <b:NameList>
          <b:Person>
            <b:Last>Cruz</b:Last>
            <b:First>Ana</b:First>
          </b:Person>
        </b:NameList>
      </b:Author>
    </b:Author>
    <b:Year>2018</b:Year>
    <b:Publisher>El Nuevo Diario</b:Publisher>
    <b:City>Managua</b:City>
    <b:RefOrder>55</b:RefOrder>
  </b:Source>
  <b:Source>
    <b:Tag>Ana182</b:Tag>
    <b:SourceType>InternetSite</b:SourceType>
    <b:Guid>{02252322-CCD4-49F2-8144-E0B6C82952F9}</b:Guid>
    <b:Author>
      <b:Author>
        <b:NameList>
          <b:Person>
            <b:Last>Cruz</b:Last>
            <b:First>Ana</b:First>
          </b:Person>
        </b:NameList>
      </b:Author>
    </b:Author>
    <b:Title>El Nuevo Diario</b:Title>
    <b:Year>2018</b:Year>
    <b:Month>noviembre</b:Month>
    <b:Day>30</b:Day>
    <b:URL>https://www.elnuevodiario.com.ni/nacionales/480554-inversion-formacion-maestros-nicaragua/</b:URL>
    <b:RefOrder>57</b:RefOrder>
  </b:Source>
  <b:Source>
    <b:Tag>Nes16</b:Tag>
    <b:SourceType>InternetSite</b:SourceType>
    <b:Guid>{CD9CF4C0-6129-4CD6-A1B6-32EBB02EA215}</b:Guid>
    <b:Title>Blog de Nestor Avendaño</b:Title>
    <b:Year>2016</b:Year>
    <b:Author>
      <b:Author>
        <b:NameList>
          <b:Person>
            <b:Last>Avendaño</b:Last>
            <b:First>Nestor</b:First>
          </b:Person>
        </b:NameList>
      </b:Author>
    </b:Author>
    <b:Month>junio</b:Month>
    <b:Day>05</b:Day>
    <b:URL>https://nestoravendano.wordpress.com/2016/06/05/el-problema-de-la-baja-productividad-de-la-economia-de-nicaragua/</b:URL>
    <b:RefOrder>62</b:RefOrder>
  </b:Source>
  <b:Source>
    <b:Tag>Jos17</b:Tag>
    <b:SourceType>InternetSite</b:SourceType>
    <b:Guid>{7DDB7A2A-1407-49CA-B088-FA3D68B062AB}</b:Guid>
    <b:Title>El Nuevo Diario</b:Title>
    <b:Year>2017</b:Year>
    <b:Month>Octubre</b:Month>
    <b:Day>16</b:Day>
    <b:Author>
      <b:Author>
        <b:NameList>
          <b:Person>
            <b:Last>Solís</b:Last>
            <b:First>José</b:First>
          </b:Person>
        </b:NameList>
      </b:Author>
    </b:Author>
    <b:URL>https://www.elnuevodiario.com.ni/blogs/articulo/1842-educacion-crecimiento-economico/</b:URL>
    <b:RefOrder>63</b:RefOrder>
  </b:Source>
  <b:Source>
    <b:Tag>Nel03</b:Tag>
    <b:SourceType>DocumentFromInternetSite</b:SourceType>
    <b:Guid>{97B36095-8AAE-4433-A36A-5886641023CB}</b:Guid>
    <b:Title>Análisis econométrico de la relación entre la educación y la mortalidad infantil.</b:Title>
    <b:Year>2003</b:Year>
    <b:Author>
      <b:Author>
        <b:NameList>
          <b:Person>
            <b:Last>Lamelas</b:Last>
            <b:First>Nelida</b:First>
          </b:Person>
        </b:NameList>
      </b:Author>
    </b:Author>
    <b:RefOrder>64</b:RefOrder>
  </b:Source>
  <b:Source>
    <b:Tag>CEP15</b:Tag>
    <b:SourceType>Report</b:SourceType>
    <b:Guid>{68BC4D78-407D-4CA9-B3EA-314FA93C4540}</b:Guid>
    <b:Title>Revista</b:Title>
    <b:Year>2018</b:Year>
    <b:Author>
      <b:Author>
        <b:NameList>
          <b:Person>
            <b:Last>CEPAL</b:Last>
          </b:Person>
        </b:NameList>
      </b:Author>
    </b:Author>
    <b:RefOrder>65</b:RefOrder>
  </b:Source>
  <b:Source>
    <b:Tag>Kar19</b:Tag>
    <b:SourceType>InternetSite</b:SourceType>
    <b:Guid>{490634D8-7100-44AD-BD0D-C3124B4BC39F}</b:Guid>
    <b:Title>Educación del capital humano y crecimiento económico</b:Title>
    <b:Year>2019</b:Year>
    <b:Author>
      <b:Author>
        <b:NameList>
          <b:Person>
            <b:Last>Gutierrez</b:Last>
            <b:First>Karla</b:First>
            <b:Middle>Marisol Espina</b:Middle>
          </b:Person>
        </b:NameList>
      </b:Author>
    </b:Author>
    <b:Month>septiembre</b:Month>
    <b:Day>20</b:Day>
    <b:URL>https://www.gestiopolis.com/educacion-del-capital-humano-y-crecimiento-economico/</b:URL>
    <b:RefOrder>66</b:RefOrder>
  </b:Source>
  <b:Source>
    <b:Tag>ROC15</b:Tag>
    <b:SourceType>Misc</b:SourceType>
    <b:Guid>{DBD37939-DBE1-4421-A233-DA536C6D3924}</b:Guid>
    <b:Author>
      <b:Author>
        <b:NameList>
          <b:Person>
            <b:Last>Yánez</b:Last>
            <b:First>Rocio</b:First>
          </b:Person>
        </b:NameList>
      </b:Author>
    </b:Author>
    <b:Title>“Analisis de la educación y el crecimiento económico en México durante el período 1990-2012.”</b:Title>
    <b:Year>2015</b:Year>
    <b:Month>Julio</b:Month>
    <b:City>Mexico</b:City>
    <b:RefOrder>67</b:RefOrder>
  </b:Source>
  <b:Source>
    <b:Tag>Sam91</b:Tag>
    <b:SourceType>Book</b:SourceType>
    <b:Guid>{F27458EE-E665-4D58-95C6-A21F33691502}</b:Guid>
    <b:Author>
      <b:Author>
        <b:NameList>
          <b:Person>
            <b:Last>Hernández</b:Last>
            <b:First>R.</b:First>
          </b:Person>
        </b:NameList>
      </b:Author>
    </b:Author>
    <b:Title>Metodología de la investigación</b:Title>
    <b:InternetSiteTitle>https://periodicooficial.jalisco.gob.mx/sites/periodicooficial.jalisco.gob.mx/files/metodologia_de_la_investigacion_-_roberto_hernandez_sampieri.pdf</b:InternetSiteTitle>
    <b:Year>2014</b:Year>
    <b:Month>Enero</b:Month>
    <b:Day>20</b:Day>
    <b:URL>metodologia_de_la_investigacion_-_roberto_hernandez_sampieri.pdf</b:URL>
    <b:City>México</b:City>
    <b:Publisher>McGraw Hill</b:Publisher>
    <b:RefOrder>5</b:RefOrder>
  </b:Source>
  <b:Source>
    <b:Tag>Inf20</b:Tag>
    <b:SourceType>Report</b:SourceType>
    <b:Guid>{7A238825-541C-41C3-BEE2-ACEF9FE6F126}</b:Guid>
    <b:Title>Salud y desastre.</b:Title>
    <b:Year>2000</b:Year>
    <b:Author>
      <b:Author>
        <b:Corporate>INIDE</b:Corporate>
      </b:Author>
    </b:Author>
    <b:City>Nicaragua</b:City>
    <b:RefOrder>6</b:RefOrder>
  </b:Source>
  <b:Source>
    <b:Tag>MEC013</b:Tag>
    <b:SourceType>Report</b:SourceType>
    <b:Guid>{78DC4AA4-C4F5-4E87-91D1-6210CFD9FDD7}</b:Guid>
    <b:Author>
      <b:Author>
        <b:Corporate>INIDE</b:Corporate>
      </b:Author>
    </b:Author>
    <b:Title>Perfil y caracteristicas de los podres en Nicaragua.</b:Title>
    <b:Year>2001</b:Year>
    <b:RefOrder>7</b:RefOrder>
  </b:Source>
  <b:Source>
    <b:Tag>OPS043</b:Tag>
    <b:SourceType>Report</b:SourceType>
    <b:Guid>{294C6517-3CB3-439D-A482-6DAD538AC95C}</b:Guid>
    <b:Author>
      <b:Author>
        <b:NameList>
          <b:Person>
            <b:Last>OPS</b:Last>
          </b:Person>
        </b:NameList>
      </b:Author>
    </b:Author>
    <b:Title>Mortalidad en Nicaragua</b:Title>
    <b:Year>2004</b:Year>
    <b:RefOrder>10</b:RefOrder>
  </b:Source>
  <b:Source>
    <b:Tag>Min062</b:Tag>
    <b:SourceType>Report</b:SourceType>
    <b:Guid>{C996AE9C-CDBF-4084-AFA4-E4222C6F988E}</b:Guid>
    <b:Author>
      <b:Author>
        <b:NameList>
          <b:Person>
            <b:Last>MINSA</b:Last>
          </b:Person>
        </b:NameList>
      </b:Author>
    </b:Author>
    <b:Title>Tasa de mortalidad infantil</b:Title>
    <b:Year>2006</b:Year>
    <b:RefOrder>11</b:RefOrder>
  </b:Source>
  <b:Source>
    <b:Tag>END08</b:Tag>
    <b:SourceType>Report</b:SourceType>
    <b:Guid>{65EB3015-511E-4F77-9EB8-888B72683125}</b:Guid>
    <b:Author>
      <b:Author>
        <b:Corporate>INIDE</b:Corporate>
      </b:Author>
    </b:Author>
    <b:Year>2008</b:Year>
    <b:Title>Encuesta en Demografía a Salud ENDESA</b:Title>
    <b:RefOrder>12</b:RefOrder>
  </b:Source>
  <b:Source>
    <b:Tag>Sal20</b:Tag>
    <b:SourceType>InternetSite</b:SourceType>
    <b:Guid>{B86229A3-57D4-4975-A524-3FE5F735C6BB}</b:Guid>
    <b:Author>
      <b:Author>
        <b:Corporate>INIDE</b:Corporate>
      </b:Author>
    </b:Author>
    <b:Year>2020</b:Year>
    <b:Month>Octubre</b:Month>
    <b:Day>17</b:Day>
    <b:URL>http://www.sld.cu/sitios/desastres/n3.php?p=nicaragua</b:URL>
    <b:Title>Nicaragua: perfil de salud</b:Title>
    <b:RefOrder>38</b:RefOrder>
  </b:Source>
  <b:Source>
    <b:Tag>MarcadorDePosición1</b:Tag>
    <b:SourceType>Report</b:SourceType>
    <b:Guid>{00F8B210-D5FB-444D-9749-33EEDDEC031D}</b:Guid>
    <b:Title>Mortalidad materna en adolescentes en el deprtamento de Matagalpa, Nicaragua en el periodo de 1999 al 2008.</b:Title>
    <b:Year>2010</b:Year>
    <b:City>Matagalpa</b:City>
    <b:Author>
      <b:Author>
        <b:NameList>
          <b:Person>
            <b:Last>Téllez</b:Last>
            <b:First>Jeniffer</b:First>
            <b:Middle>Verónica Calvo</b:Middle>
          </b:Person>
        </b:NameList>
      </b:Author>
    </b:Author>
    <b:RefOrder>39</b:RefOrder>
  </b:Source>
  <b:Source>
    <b:Tag>OPS17</b:Tag>
    <b:SourceType>Report</b:SourceType>
    <b:Guid>{D7D368E2-5316-46F8-9C63-68E527778B8F}</b:Guid>
    <b:Author>
      <b:Author>
        <b:NameList>
          <b:Person>
            <b:Last>MINSA</b:Last>
          </b:Person>
        </b:NameList>
      </b:Author>
    </b:Author>
    <b:Title>Intervenciones basadas en evidencia para reducir la mortalidad neonatal</b:Title>
    <b:Year>2009</b:Year>
    <b:City>Managua</b:City>
    <b:RefOrder>41</b:RefOrder>
  </b:Source>
  <b:Source>
    <b:Tag>sci11</b:Tag>
    <b:SourceType>InternetSite</b:SourceType>
    <b:Guid>{21179320-6565-4196-B1A3-C05AB1EEFDF0}</b:Guid>
    <b:Author>
      <b:Author>
        <b:NameList>
          <b:Person>
            <b:Last>scielo</b:Last>
          </b:Person>
        </b:NameList>
      </b:Author>
    </b:Author>
    <b:Title>Sistema de salud en Nicaragua</b:Title>
    <b:Year>2011</b:Year>
    <b:Month>mayo</b:Month>
    <b:Day>18</b:Day>
    <b:URL>https://www.scielosp.org/article/spm/2011.v53suppl2/s233-s242/#:~:text=La%20mortalidad%20general%20de%20Nicaragua%20es%20de%204.8%20por%201000%20habitantes.&amp;text=La%20mortalidad%20infantil%20baj%C3%B3%20de,43%20en%20la%20del%20Atl%C3%A1ntico.</b:URL>
    <b:RefOrder>42</b:RefOrder>
  </b:Source>
  <b:Source>
    <b:Tag>MarcadorDePosición5</b:Tag>
    <b:SourceType>InternetSite</b:SourceType>
    <b:Guid>{9A61697F-BBD7-4555-B799-3696A75A7946}</b:Guid>
    <b:Author>
      <b:Author>
        <b:NameList>
          <b:Person>
            <b:Last>CODENI</b:Last>
          </b:Person>
        </b:NameList>
      </b:Author>
    </b:Author>
    <b:Title>Federación Coordinadora Nicaragüense de ONG que trabajan con la Niñez y la Adolescencia</b:Title>
    <b:Year>2017</b:Year>
    <b:URL>http://www.codeni.org.ni/salud/mortalidad/mortalidad-infantil/#:~:text=La%20tasa%20de%20mortalidad%20en,vivos%20a%2012.5%20en%202010.</b:URL>
    <b:RefOrder>43</b:RefOrder>
  </b:Source>
  <b:Source xmlns:b="http://schemas.openxmlformats.org/officeDocument/2006/bibliography">
    <b:Tag>OPS15</b:Tag>
    <b:SourceType>Report</b:SourceType>
    <b:Guid>{D546E581-01B4-48CC-8BB9-8C0296702075}</b:Guid>
    <b:Author>
      <b:Author>
        <b:NameList>
          <b:Person>
            <b:Last>OPS</b:Last>
          </b:Person>
        </b:NameList>
      </b:Author>
    </b:Author>
    <b:Title>Perfil de país Nicaragua</b:Title>
    <b:Year>2015</b:Year>
    <b:City>Managua</b:City>
    <b:RefOrder>44</b:RefOrder>
  </b:Source>
  <b:Source>
    <b:Tag>Les15</b:Tag>
    <b:SourceType>Report</b:SourceType>
    <b:Guid>{9F94AA6F-4EEA-420A-9C8B-417EEB87ECA5}</b:Guid>
    <b:Author>
      <b:Author>
        <b:NameList>
          <b:Person>
            <b:Last>Muñoz</b:Last>
            <b:First>Lester</b:First>
            <b:Middle>Alberto Chávez</b:Middle>
          </b:Person>
        </b:NameList>
      </b:Author>
    </b:Author>
    <b:Title>Mortalidad neonatal temprana en el período de 2012 al 2014 en el hospital escuela Oscar Danilo Rosales Arguello.</b:Title>
    <b:Year>2015</b:Year>
    <b:City>León</b:City>
    <b:RefOrder>45</b:RefOrder>
  </b:Source>
  <b:Source>
    <b:Tag>OPS18</b:Tag>
    <b:SourceType>Report</b:SourceType>
    <b:Guid>{457D5C9F-62E4-4733-8B4E-55B9489FCF36}</b:Guid>
    <b:Author>
      <b:Author>
        <b:NameList>
          <b:Person>
            <b:Last>OPS</b:Last>
          </b:Person>
        </b:NameList>
      </b:Author>
    </b:Author>
    <b:Title>Perfil del pais</b:Title>
    <b:Year>2018</b:Year>
    <b:RefOrder>46</b:RefOrder>
  </b:Source>
  <b:Source>
    <b:Tag>Men20</b:Tag>
    <b:SourceType>InternetSite</b:SourceType>
    <b:Guid>{A13C1FF0-529D-48DF-8A87-AB0C53DE7DCF}</b:Guid>
    <b:Author>
      <b:Author>
        <b:NameList>
          <b:Person>
            <b:Last>Mendoza</b:Last>
            <b:First>Jorge</b:First>
          </b:Person>
        </b:NameList>
      </b:Author>
    </b:Author>
    <b:Title>despacho505</b:Title>
    <b:Year>2020</b:Year>
    <b:URL>https://www.despacho505.com/nicaragua-es-el-pais-de-centroamerica-que-menos-invierte-en-educacion/</b:URL>
    <b:RefOrder>48</b:RefOrder>
  </b:Source>
  <b:Source>
    <b:Tag>Sic</b:Tag>
    <b:SourceType>InternetSite</b:SourceType>
    <b:Guid>{0C9CDEB3-03F1-4AF8-898A-5F30BA1D938B}</b:Guid>
    <b:Author>
      <b:Author>
        <b:NameList>
          <b:Person>
            <b:Last>SicELO</b:Last>
          </b:Person>
        </b:NameList>
      </b:Author>
    </b:Author>
    <b:Title>Invercion publica y crecimiento economico</b:Title>
    <b:URL>http://www.scielo.org.mx/scielo.php?script=sci_arttext&amp;pid=s0188-33802010000200003</b:URL>
    <b:Year>2010</b:Year>
    <b:RefOrder>51</b:RefOrder>
  </b:Source>
  <b:Source>
    <b:Tag>Dhr18</b:Tag>
    <b:SourceType>Report</b:SourceType>
    <b:Guid>{6121A028-97F3-4A49-B952-C0181289C543}</b:Guid>
    <b:Author>
      <b:Author>
        <b:NameList>
          <b:Person>
            <b:Last>Dhrifi</b:Last>
            <b:First>Abdelhafidh</b:First>
          </b:Person>
        </b:NameList>
      </b:Author>
    </b:Author>
    <b:Title>Gastos en Salud, Crecimiento economico y Mortalidad Infantil: Antecedentes de paises desarrollados y en desarrollo.</b:Title>
    <b:Year>2018</b:Year>
    <b:Publisher>Universidad de Sousse</b:Publisher>
    <b:RefOrder>68</b:RefOrder>
  </b:Source>
  <b:Source>
    <b:Tag>Fau</b:Tag>
    <b:SourceType>Report</b:SourceType>
    <b:Guid>{600C6BCA-18D7-4FCC-ACB1-4086469955D5}</b:Guid>
    <b:Author>
      <b:Author>
        <b:NameList>
          <b:Person>
            <b:Last>Dopico</b:Last>
            <b:First>Fausto</b:First>
          </b:Person>
        </b:NameList>
      </b:Author>
    </b:Author>
    <b:Title>Desarrollo Economico y Social y Mortalidad Infantil: Diferencias Regionales.</b:Title>
    <b:City>España</b:City>
    <b:RefOrder>69</b:RefOrder>
  </b:Source>
  <b:Source>
    <b:Tag>Sal10</b:Tag>
    <b:SourceType>Report</b:SourceType>
    <b:Guid>{B1BA3239-6FE0-419B-AB94-7C7A86AE70BB}</b:Guid>
    <b:Author>
      <b:Author>
        <b:NameList>
          <b:Person>
            <b:Last>Moreno</b:Last>
            <b:First>Salvador</b:First>
            <b:Middle>Pérez</b:Middle>
          </b:Person>
          <b:Person>
            <b:Last>Bárcena Martín</b:Last>
            <b:First>Elena</b:First>
          </b:Person>
          <b:Person>
            <b:Last>Blanco</b:Last>
            <b:Middle>del Carmen</b:Middle>
            <b:First>María</b:First>
          </b:Person>
        </b:NameList>
      </b:Author>
    </b:Author>
    <b:Title>Fluctuaciones economicas y mortalidad infantil.</b:Title>
    <b:Year>2010</b:Year>
    <b:City>España</b:City>
    <b:RefOrder>70</b:RefOrder>
  </b:Source>
  <b:Source>
    <b:Tag>Lop19</b:Tag>
    <b:SourceType>Report</b:SourceType>
    <b:Guid>{8B43BB7A-B2C9-4DB4-9134-27836970666E}</b:Guid>
    <b:Title>Objetivos del desarrollo sostenible en Nicaragua. Educación de calidad en Nicaragua entre el periodod 2007-2017</b:Title>
    <b:Year>2019</b:Year>
    <b:City>Managua</b:City>
    <b:Author>
      <b:Author>
        <b:NameList>
          <b:Person>
            <b:Last>Lopez Briones</b:Last>
            <b:First>Flavia</b:First>
            <b:Middle>Waleska</b:Middle>
          </b:Person>
          <b:Person>
            <b:Last>Zavala Martinez</b:Last>
            <b:Middle>Lisett</b:Middle>
            <b:First>Sayda</b:First>
          </b:Person>
        </b:NameList>
      </b:Author>
    </b:Author>
    <b:RefOrder>3</b:RefOrder>
  </b:Source>
  <b:Source>
    <b:Tag>Tün11</b:Tag>
    <b:SourceType>JournalArticle</b:SourceType>
    <b:Guid>{3D2B1A32-B353-4A44-B71C-999079A2229A}</b:Guid>
    <b:Title>PERTINENCIA Y CALIDAD DE LAm EDUCACIÓN SUPERIOR</b:Title>
    <b:Year>2011</b:Year>
    <b:Author>
      <b:Author>
        <b:NameList>
          <b:Person>
            <b:Last>Tünnermann Bernheim</b:Last>
            <b:First>Carlos</b:First>
          </b:Person>
        </b:NameList>
      </b:Author>
    </b:Author>
    <b:Pages>30</b:Pages>
    <b:Month>maYO</b:Month>
    <b:Day>26, 27 Y 28</b:Day>
    <b:YearAccessed>2020</b:YearAccessed>
    <b:MonthAccessed>Enero</b:MonthAccessed>
    <b:DayAccessed>15</b:DayAccessed>
    <b:RefOrder>1</b:RefOrder>
  </b:Source>
  <b:Source>
    <b:Tag>o1</b:Tag>
    <b:SourceType>JournalArticle</b:SourceType>
    <b:Guid>{FD5A5F46-BBD2-40C3-A0A0-0E3744A1B9CA}</b:Guid>
    <b:Author>
      <b:Author>
        <b:NameList>
          <b:Person>
            <b:Last>Olivares</b:Last>
            <b:First>Carlos</b:First>
          </b:Person>
        </b:NameList>
      </b:Author>
    </b:Author>
    <b:Title>La educación superior en Nicaragua</b:Title>
    <b:JournalName>Innovación educativa</b:JournalName>
    <b:Year>2011</b:Year>
    <b:Pages>9</b:Pages>
    <b:Month>Octubre-Diciembre</b:Month>
    <b:Volume>11</b:Volume>
    <b:Issue>57</b:Issue>
    <b:Medium>Electrónico</b:Medium>
    <b:YearAccessed>2020</b:YearAccessed>
    <b:MonthAccessed>Enero</b:MonthAccessed>
    <b:DayAccessed>19</b:DayAccessed>
    <b:URL>www.redalyc.org/articulo.oa?id=179422350011</b:URL>
    <b:RefOrder>2</b:RefOrder>
  </b:Source>
  <b:Source>
    <b:Tag>El120</b:Tag>
    <b:SourceType>InternetSite</b:SourceType>
    <b:Guid>{25F71EC1-B76C-4525-B16E-E63C77FB9B0E}</b:Guid>
    <b:Title>el19digital.com/</b:Title>
    <b:Year>2020</b:Year>
    <b:Month>Enero</b:Month>
    <b:Day>20</b:Day>
    <b:URL>https://www.el19digital.com/articulos/ver/titulo:99103-nicaragua-es-reconocida-en-el-foro-mundial-de-educacion-en-londres</b:URL>
    <b:Author>
      <b:Author>
        <b:Corporate> El 19 Digital</b:Corporate>
      </b:Author>
    </b:Author>
    <b:YearAccessed>2020</b:YearAccessed>
    <b:MonthAccessed>Enero</b:MonthAccessed>
    <b:DayAccessed>20</b:DayAccessed>
    <b:ShortTitle>Foro Mundial de Educación en Londres</b:ShortTitle>
    <b:RefOrder>3</b:RefOrder>
  </b:Source>
  <b:Source>
    <b:Tag>Tor13</b:Tag>
    <b:SourceType>JournalArticle</b:SourceType>
    <b:Guid>{9CDB62D4-3F1F-49EE-9B64-47FFA54A652D}</b:Guid>
    <b:Title>La cultura de paz en nicaragua</b:Title>
    <b:Year>2013</b:Year>
    <b:Month>Mayo</b:Month>
    <b:Day>29</b:Day>
    <b:Author>
      <b:Author>
        <b:NameList>
          <b:Person>
            <b:Last>Torres</b:Last>
            <b:First>Denis</b:First>
          </b:Person>
        </b:NameList>
      </b:Author>
    </b:Author>
    <b:Pages>24</b:Pages>
    <b:RefOrder>4</b:RefOrder>
  </b:Source>
  <b:Source>
    <b:Tag>Leg19</b:Tag>
    <b:SourceType>InternetSite</b:SourceType>
    <b:Guid>{CC3F8F74-5AE4-4462-B15D-65184A3365BE}</b:Guid>
    <b:Title>legislacion.asamblea.gob.ni</b:Title>
    <b:Year>2019</b:Year>
    <b:Author>
      <b:Author>
        <b:NameList>
          <b:Person>
            <b:Last>Legislación</b:Last>
            <b:First>Asamblea</b:First>
            <b:Middle>nacional de Nicaragua</b:Middle>
          </b:Person>
        </b:NameList>
      </b:Author>
    </b:Author>
    <b:Month>enero</b:Month>
    <b:Day>24</b:Day>
    <b:URL>http://legislacion.asamblea.gob.ni/normaweb.nsf/($All)/5B219B60A3E3CFC306258391005A061F?OpenDocument</b:URL>
    <b:RefOrder>5</b:RefOrder>
  </b:Source>
  <b:Source>
    <b:Tag>19D19</b:Tag>
    <b:SourceType>InternetSite</b:SourceType>
    <b:Guid>{C24F8261-6147-481B-BA58-F4296A0ACF96}</b:Guid>
    <b:Year>2019</b:Year>
    <b:Author>
      <b:Author>
        <b:NameList>
          <b:Person>
            <b:Last>Digital19</b:Last>
          </b:Person>
        </b:NameList>
      </b:Author>
    </b:Author>
    <b:Month>Abril</b:Month>
    <b:YearAccessed>2019</b:YearAccessed>
    <b:MonthAccessed>Agosto</b:MonthAccessed>
    <b:RefOrder>6</b:RefOrder>
  </b:Source>
  <b:Source>
    <b:Tag>Leó17</b:Tag>
    <b:SourceType>JournalArticle</b:SourceType>
    <b:Guid>{F87F2A4A-467A-4AB8-A37F-66E010BEDCD5}</b:Guid>
    <b:Title>Qué es la educación</b:Title>
    <b:Year>2017</b:Year>
    <b:Month>Agosto</b:Month>
    <b:Author>
      <b:Author>
        <b:NameList>
          <b:Person>
            <b:Last>León</b:Last>
            <b:First>Anibal</b:First>
          </b:Person>
        </b:NameList>
      </b:Author>
    </b:Author>
    <b:JournalName>Educer</b:JournalName>
    <b:Pages>11</b:Pages>
    <b:City>Venezuela</b:City>
    <b:YearAccessed>2019</b:YearAccessed>
    <b:MonthAccessed>Agosto</b:MonthAccessed>
    <b:Day>9</b:Day>
    <b:RefOrder>7</b:RefOrder>
  </b:Source>
  <b:Source>
    <b:Tag>TuvSF</b:Tag>
    <b:SourceType>InternetSite</b:SourceType>
    <b:Guid>{183F14AD-E7E3-4FBD-B935-28476BB371FD}</b:Guid>
    <b:Title>monograía.com</b:Title>
    <b:Year>SF</b:Year>
    <b:Author>
      <b:Author>
        <b:NameList>
          <b:Person>
            <b:Last>Tuvilla Rayo</b:Last>
            <b:First>José</b:First>
          </b:Person>
        </b:NameList>
      </b:Author>
    </b:Author>
    <b:YearAccessed>2019</b:YearAccessed>
    <b:MonthAccessed>Agosto</b:MonthAccessed>
    <b:ShortTitle>Cultura de paz: Desafío para la educación del S. XXI</b:ShortTitle>
    <b:RefOrder>8</b:RefOrder>
  </b:Source>
  <b:Source>
    <b:Tag>SNSF</b:Tag>
    <b:SourceType>InternetSite</b:SourceType>
    <b:Guid>{375B107E-EC2E-46AE-8458-6B5AC85AC55C}</b:Guid>
    <b:Year>SF</b:Year>
    <b:Author>
      <b:Author>
        <b:NameList>
          <b:Person>
            <b:Last>SN</b:Last>
          </b:Person>
        </b:NameList>
      </b:Author>
    </b:Author>
    <b:YearAccessed>2019</b:YearAccessed>
    <b:MonthAccessed>Agosto</b:MonthAccessed>
    <b:ShortTitle>Papel de la Educación Superior en el siglo XXI</b:ShortTitle>
    <b:RefOrder>9</b:RefOrder>
  </b:Source>
  <b:Source>
    <b:Tag>TÜN96</b:Tag>
    <b:SourceType>Book</b:SourceType>
    <b:Guid>{C0961E64-5EDA-46E9-B7AE-456448FDB218}</b:Guid>
    <b:Author>
      <b:Author>
        <b:NameList>
          <b:Person>
            <b:Last>TÜNNERMANN BERNHEIM</b:Last>
            <b:First>CARLOS</b:First>
          </b:Person>
        </b:NameList>
      </b:Author>
      <b:Editor>
        <b:NameList>
          <b:Person>
            <b:Last>Gólcher</b:Last>
            <b:First>Prof</b:First>
            <b:Middle>Ileana</b:Middle>
          </b:Person>
        </b:NameList>
      </b:Editor>
    </b:Author>
    <b:Title>Cultura de paz, un nuevo paradigma para centroamérica</b:Title>
    <b:Year>1996</b:Year>
    <b:City>Panamá</b:City>
    <b:Pages>52</b:Pages>
    <b:Comments>Cuadernos de paz #8</b:Comments>
    <b:YearAccessed>2019</b:YearAccessed>
    <b:MonthAccessed>Agosto</b:MonthAccessed>
    <b:LCID>es-NI</b:LCID>
    <b:RefOrder>10</b:RefOrder>
  </b:Source>
  <b:Source>
    <b:Tag>SN19</b:Tag>
    <b:SourceType>InternetSite</b:SourceType>
    <b:Guid>{778BAED2-6CFD-41AD-9975-86929EDA6AFE}</b:Guid>
    <b:Author>
      <b:Author>
        <b:NameList>
          <b:Person>
            <b:Last>SN</b:Last>
          </b:Person>
        </b:NameList>
      </b:Author>
    </b:Author>
    <b:Title>/www.oas.org</b:Title>
    <b:Year>2019</b:Year>
    <b:URL>http://www.oas.org/es/temas/sociedad_conocimiento.asp</b:URL>
    <b:YearAccessed>2019</b:YearAccessed>
    <b:MonthAccessed>Septiembre</b:MonthAccessed>
    <b:ShortTitle>Sociedad del conocimiento</b:ShortTitle>
    <b:RefOrder>11</b:RefOrder>
  </b:Source>
  <b:Source>
    <b:Tag>Día11</b:Tag>
    <b:SourceType>InternetSite</b:SourceType>
    <b:Guid>{64BE3C01-3255-4041-82D2-3A3800F7EEE6}</b:Guid>
    <b:Author>
      <b:Author>
        <b:NameList>
          <b:Person>
            <b:Last>Díaz Narváez</b:Last>
            <b:First>Victor</b:First>
            <b:Middle>Patricio</b:Middle>
          </b:Person>
        </b:NameList>
      </b:Author>
    </b:Author>
    <b:Title>www.researchgate.net/publication</b:Title>
    <b:Year>2011</b:Year>
    <b:Month>Septiembre</b:Month>
    <b:URL>https://www.researchgate.net/publication/275951351_Relacion_entre_sociedad_del_conocimiento_metodologia_de_la_investigacion_cientifica_y_produccion_cientifica_estudiantil_en_estudiantes_de_medicina_Chile</b:URL>
    <b:YearAccessed>2019</b:YearAccessed>
    <b:MonthAccessed>Septiembre</b:MonthAccessed>
    <b:RefOrder>12</b:RefOrder>
  </b:Source>
  <b:Source>
    <b:Tag>CasSF</b:Tag>
    <b:SourceType>InternetSite</b:SourceType>
    <b:Guid>{EF8F0143-E769-4909-B4D0-094FEA2C9E77}</b:Guid>
    <b:Author>
      <b:Author>
        <b:NameList>
          <b:Person>
            <b:Last>Castillo</b:Last>
            <b:First>Isabel</b:First>
          </b:Person>
        </b:NameList>
      </b:Author>
    </b:Author>
    <b:Title>www.lifeder.com</b:Title>
    <b:Year>SF</b:Year>
    <b:URL>https://www.lifeder.com/sociedad-del-conocimiento/</b:URL>
    <b:YearAccessed>2019</b:YearAccessed>
    <b:MonthAccessed>Septiembre</b:MonthAccessed>
    <b:ShortTitle>Sociedad del conocimiento: Origen, caracterísiticas e importancia</b:ShortTitle>
    <b:RefOrder>13</b:RefOrder>
  </b:Source>
  <b:Source>
    <b:Tag>Ala08</b:Tag>
    <b:SourceType>InternetSite</b:SourceType>
    <b:Guid>{F78F536A-F569-470D-BF7D-C31D5D4B92E8}</b:Guid>
    <b:Author>
      <b:Author>
        <b:NameList>
          <b:Person>
            <b:Last>Alarcón Rodríguez</b:Last>
            <b:First>Tito</b:First>
          </b:Person>
        </b:NameList>
      </b:Author>
    </b:Author>
    <b:Title>www.gestiopolis.com</b:Title>
    <b:Year>2008</b:Year>
    <b:Month>Octubre</b:Month>
    <b:Day>10</b:Day>
    <b:URL>https://www.gestiopolis.com/la-sociedad-del-conocimiento/</b:URL>
    <b:YearAccessed>2019</b:YearAccessed>
    <b:MonthAccessed>Septiembre</b:MonthAccessed>
    <b:ShortTitle>Soceidad del conocimiento</b:ShortTitle>
    <b:Comments>Economía</b:Comments>
    <b:RefOrder>14</b:RefOrder>
  </b:Source>
  <b:Source>
    <b:Tag>Cas16</b:Tag>
    <b:SourceType>InternetSite</b:SourceType>
    <b:Guid>{794C1D34-0C74-43A4-BCF3-442ECD3CEEB2}</b:Guid>
    <b:Author>
      <b:Author>
        <b:NameList>
          <b:Person>
            <b:Last>Casco</b:Last>
            <b:First>Juan</b:First>
            <b:Middle>Carlos</b:Middle>
          </b:Person>
        </b:NameList>
      </b:Author>
    </b:Author>
    <b:Title>emprendedorex.com</b:Title>
    <b:Year>2016</b:Year>
    <b:Month>Enero</b:Month>
    <b:Day>3</b:Day>
    <b:URL>http://juancarloscasco.emprendedorex.com/</b:URL>
    <b:YearAccessed>2019</b:YearAccessed>
    <b:MonthAccessed>Septiembre</b:MonthAccessed>
    <b:ShortTitle>¿Qué es la sociedad del conocimiento y para qué me sirve?</b:ShortTitle>
    <b:RefOrder>15</b:RefOrder>
  </b:Source>
  <b:Source>
    <b:Tag>Gue16</b:Tag>
    <b:SourceType>InternetSite</b:SourceType>
    <b:Guid>{DC0264DC-4E9D-43F6-94F9-4707ABADB601}</b:Guid>
    <b:Author>
      <b:Author>
        <b:NameList>
          <b:Person>
            <b:Last>Guevara Patiño</b:Last>
            <b:First>Ragnhild</b:First>
          </b:Person>
        </b:NameList>
      </b:Author>
    </b:Author>
    <b:Title>redalyc.org</b:Title>
    <b:Year>2016</b:Year>
    <b:Month>Enero</b:Month>
    <b:Day>27</b:Day>
    <b:URL>https://www.redalyc.org/pdf/3459/345945922011.pdf</b:URL>
    <b:ShortTitle>El estado del arte en la investigación</b:ShortTitle>
    <b:RefOrder>16</b:RefOrder>
  </b:Source>
  <b:Source>
    <b:Tag>oal17</b:Tag>
    <b:SourceType>JournalArticle</b:SourceType>
    <b:Guid>{10B021F8-BE4D-4469-90D7-4A32B9162198}</b:Guid>
    <b:Author>
      <b:Author>
        <b:NameList>
          <b:Person>
            <b:Last>Toala Toala</b:Last>
            <b:First>Guadalupe</b:First>
            <b:Middle>M. T</b:Middle>
          </b:Person>
        </b:NameList>
      </b:Author>
    </b:Author>
    <b:Title>La gestión de la calidad universitaria en las carreras de administración, fuente de desarrollo en la educación superior</b:Title>
    <b:Year>2017</b:Year>
    <b:Month>Mayo</b:Month>
    <b:Day>20</b:Day>
    <b:YearAccessed>2019</b:YearAccessed>
    <b:MonthAccessed>Septiembre</b:MonthAccessed>
    <b:DayAccessed>20</b:DayAccessed>
    <b:ShortTitle>La gestión de la calidad universitaria en las carreras de administración, fuente de desarrollo en la educación superior</b:ShortTitle>
    <b:JournalName>Dominio de las ciencias</b:JournalName>
    <b:City>Manta, Ecuador</b:City>
    <b:Pages>23</b:Pages>
    <b:Volume>3</b:Volume>
    <b:RefOrder>17</b:RefOrder>
  </b:Source>
  <b:Source>
    <b:Tag>www19</b:Tag>
    <b:SourceType>InternetSite</b:SourceType>
    <b:Guid>{8B209143-9313-4F66-803E-66F9F76161B9}</b:Guid>
    <b:Title>www.unan.edu.n</b:Title>
    <b:Year>2019</b:Year>
    <b:Month>Julio</b:Month>
    <b:Day>10</b:Day>
    <b:URL>http://www.unan.edu.ni/index.php/institucional/informe-de-gestion-2018.odp</b:URL>
    <b:YearAccessed>2019</b:YearAccessed>
    <b:MonthAccessed>Julio</b:MonthAccessed>
    <b:DayAccessed>09</b:DayAccessed>
    <b:ShortTitle>Informe de gestión 2018</b:ShortTitle>
    <b:Author>
      <b:Author>
        <b:NameList>
          <b:Person>
            <b:Last>Rodríguez</b:Last>
            <b:First>Ramona</b:First>
          </b:Person>
        </b:NameList>
      </b:Author>
    </b:Author>
    <b:RefOrder>18</b:RefOrder>
  </b:Source>
  <b:Source>
    <b:Tag>BonSF</b:Tag>
    <b:SourceType>InternetSite</b:SourceType>
    <b:Guid>{14D155F9-84B1-4A72-964F-9B4474A5708B}</b:Guid>
    <b:Author>
      <b:Author>
        <b:NameList>
          <b:Person>
            <b:Last>Bonifaz Aranda</b:Last>
            <b:First>Edison</b:First>
            <b:Middle>Fernando</b:Middle>
          </b:Person>
        </b:NameList>
      </b:Author>
    </b:Author>
    <b:Title>revista.redipe.org</b:Title>
    <b:Year>SF</b:Year>
    <b:URL>https://revista.redipe.org/index.php/1/article/view/699/651</b:URL>
    <b:YearAccessed>2019</b:YearAccessed>
    <b:MonthAccessed>Julio</b:MonthAccessed>
    <b:DayAccessed>20</b:DayAccessed>
    <b:ShortTitle>El direccionamiento y la gestión estratégica.</b:ShortTitle>
    <b:RefOrder>19</b:RefOrder>
  </b:Source>
  <b:Source>
    <b:Tag>Bon19</b:Tag>
    <b:SourceType>JournalArticle</b:SourceType>
    <b:Guid>{3E219CBE-F498-40E1-994B-189842E6F918}</b:Guid>
    <b:Author>
      <b:Author>
        <b:NameList>
          <b:Person>
            <b:Last>Bonifaz Aranda</b:Last>
            <b:First>Edison</b:First>
            <b:Middle>Fernando</b:Middle>
          </b:Person>
        </b:NameList>
      </b:Author>
    </b:Author>
    <b:Title>La calidad de la gestión universitaria</b:Title>
    <b:JournalName>Boletín redipe</b:JournalName>
    <b:Year>2019</b:Year>
    <b:Pages>11</b:Pages>
    <b:Month>Marzo</b:Month>
    <b:RefOrder>20</b:RefOrder>
  </b:Source>
  <b:Source>
    <b:Tag>o</b:Tag>
    <b:SourceType>JournalArticle</b:SourceType>
    <b:Guid>{88DD86F6-F846-4D27-921A-8B9F67072558}</b:Guid>
    <b:Author>
      <b:Author>
        <b:NameList>
          <b:Person>
            <b:Last>o</b:Last>
          </b:Person>
        </b:NameList>
      </b:Author>
    </b:Author>
    <b:RefOrder>21</b:RefOrder>
  </b:Source>
  <b:Source>
    <b:Tag>Agu03</b:Tag>
    <b:SourceType>JournalArticle</b:SourceType>
    <b:Guid>{2B3FBF6F-3C82-4FA0-B1FF-4F78ED2C14C2}</b:Guid>
    <b:Title>Pistas para aproximarnos al estudio de la escolarización</b:Title>
    <b:Year>203</b:Year>
    <b:Author>
      <b:Author>
        <b:NameList>
          <b:Person>
            <b:Last>Aguirre Lora</b:Last>
            <b:First>María</b:First>
            <b:Middle>Esther</b:Middle>
          </b:Person>
        </b:NameList>
      </b:Author>
    </b:Author>
    <b:JournalName>Revista Electrónica de Investigación Educativa</b:JournalName>
    <b:Pages>5</b:Pages>
    <b:Volume>5</b:Volume>
    <b:Issue>2</b:Issue>
    <b:RefOrder>22</b:RefOrder>
  </b:Source>
  <b:Source>
    <b:Tag>Kal57</b:Tag>
    <b:SourceType>JournalArticle</b:SourceType>
    <b:Guid>{750AAAFE-1ECE-4C20-86F1-2FC65A40CC69}</b:Guid>
    <b:Title>A model of economic growth</b:Title>
    <b:Year>1957</b:Year>
    <b:Author>
      <b:Author>
        <b:NameList>
          <b:Person>
            <b:Last>Kaldor</b:Last>
            <b:First>Nicholas</b:First>
          </b:Person>
        </b:NameList>
      </b:Author>
    </b:Author>
    <b:JournalName>The Economic Journal</b:JournalName>
    <b:Pages>591-624</b:Pages>
    <b:Volume>67</b:Volume>
    <b:Issue>268</b:Issue>
    <b:RefOrder>1</b:RefOrder>
  </b:Source>
  <b:Source>
    <b:Tag>Kar13</b:Tag>
    <b:SourceType>Report</b:SourceType>
    <b:Guid>{0B5BFB94-CF28-4FFF-8B92-D9424B597A18}</b:Guid>
    <b:Author>
      <b:Author>
        <b:NameList>
          <b:Person>
            <b:Last>Karabarbounis</b:Last>
            <b:First>Loukas</b:First>
          </b:Person>
          <b:Person>
            <b:Last>Neiman</b:Last>
            <b:First>Brent</b:First>
          </b:Person>
        </b:NameList>
      </b:Author>
    </b:Author>
    <b:Title>The Global Decline of the Labor Share</b:Title>
    <b:Year>2013</b:Year>
    <b:Institution>The National Bureau of Economic Research (NBER)</b:Institution>
    <b:ThesisType>Working Paper No. 19136</b:ThesisType>
    <b:URL>https://www.nber.org/papers/w19136</b:URL>
    <b:RefOrder>2</b:RefOrder>
  </b:Source>
  <b:Source>
    <b:Tag>ILO15</b:Tag>
    <b:SourceType>Report</b:SourceType>
    <b:Guid>{720B83A7-BCBC-4F33-A498-F47BDCF4AFFD}</b:Guid>
    <b:Author>
      <b:Author>
        <b:Corporate>ILO; OECD</b:Corporate>
      </b:Author>
    </b:Author>
    <b:Title>The Labour Share in G20 Economies</b:Title>
    <b:Year>2015</b:Year>
    <b:ThesisType>Report prepared for the G20 Employment Working Group</b:ThesisType>
    <b:RefOrder>3</b:RefOrder>
  </b:Source>
  <b:Source>
    <b:Tag>IMF17</b:Tag>
    <b:SourceType>Report</b:SourceType>
    <b:Guid>{0C2741B3-6356-4645-9E0B-4563E3658F34}</b:Guid>
    <b:Title>World Economic Outlook, April 2017: Gaining Momentum?</b:Title>
    <b:Year>2017</b:Year>
    <b:City>Washington</b:City>
    <b:Author>
      <b:Author>
        <b:Corporate>IMF</b:Corporate>
      </b:Author>
    </b:Author>
    <b:Institution>International Monetary Fund</b:Institution>
    <b:ThesisType>WEO REPORTS</b:ThesisType>
    <b:URL>https://www.imf.org/en/Publications/WEO/Issues/2017/04/04/world-economic-outlook-april-2017</b:URL>
    <b:RefOrder>4</b:RefOrder>
  </b:Source>
  <b:Source>
    <b:Tag>ILO11</b:Tag>
    <b:SourceType>Report</b:SourceType>
    <b:Guid>{0EC682D3-C0F6-4614-A77A-9C9756BA8425}</b:Guid>
    <b:Author>
      <b:Author>
        <b:NameList>
          <b:Person>
            <b:Last>ILO</b:Last>
          </b:Person>
        </b:NameList>
      </b:Author>
    </b:Author>
    <b:Title>World of Work Report 2011</b:Title>
    <b:Year>2011</b:Year>
    <b:Institution>International Labor Organization</b:Institution>
    <b:RefOrder>5</b:RefOrder>
  </b:Source>
  <b:Source>
    <b:Tag>Gio08</b:Tag>
    <b:SourceType>Report</b:SourceType>
    <b:Guid>{9BEB5C63-9F99-4B49-9594-34F2018B552D}</b:Guid>
    <b:Author>
      <b:Author>
        <b:NameList>
          <b:Person>
            <b:Last>Giovannoni</b:Last>
            <b:First>Olivier</b:First>
          </b:Person>
        </b:NameList>
      </b:Author>
    </b:Author>
    <b:Title>Functional Distribution of Income, Inequality and the Incidence of Poverty. Stylized Facts and the Role of Macroeconomic Policy</b:Title>
    <b:Year>2008</b:Year>
    <b:Institution>United Nations Research Institute for Social Development</b:Institution>
    <b:ThesisType>UNRISD Flagship Report: Combating Poverty and Inequality</b:ThesisType>
    <b:RefOrder>6</b:RefOrder>
  </b:Source>
  <b:Source>
    <b:Tag>Fra15</b:Tag>
    <b:SourceType>Report</b:SourceType>
    <b:Guid>{54C6A042-83C1-44AA-B531-F1FDF8B8A600}</b:Guid>
    <b:Author>
      <b:Author>
        <b:NameList>
          <b:Person>
            <b:Last>Francese</b:Last>
            <b:First>Maura</b:First>
          </b:Person>
          <b:Person>
            <b:Last>Mulas-Granados</b:Last>
            <b:First>Carlos</b:First>
          </b:Person>
        </b:NameList>
      </b:Author>
    </b:Author>
    <b:Title>Functional Income Distribution and Its Role in Explaining Inequality</b:Title>
    <b:Year>2015</b:Year>
    <b:Institution>International Monetary Fund (IMF)</b:Institution>
    <b:ThesisType>Working Paper No. 15/244 </b:ThesisType>
    <b:RefOrder>7</b:RefOrder>
  </b:Source>
  <b:Source>
    <b:Tag>Atk09</b:Tag>
    <b:SourceType>JournalArticle</b:SourceType>
    <b:Guid>{89ACF286-C22D-4C34-892D-357E0A39DA3D}</b:Guid>
    <b:Author>
      <b:Author>
        <b:NameList>
          <b:Person>
            <b:Last>Atkinson</b:Last>
            <b:First>Anthony</b:First>
            <b:Middle>B.</b:Middle>
          </b:Person>
        </b:NameList>
      </b:Author>
    </b:Author>
    <b:Title>Factor shares: the principal problem of political economy?</b:Title>
    <b:Year>2009</b:Year>
    <b:Pages>3-16</b:Pages>
    <b:JournalName>Oxford Review of Economic Policy</b:JournalName>
    <b:Volume>25</b:Volume>
    <b:Issue>1</b:Issue>
    <b:RefOrder>8</b:RefOrder>
  </b:Source>
  <b:Source>
    <b:Tag>Nac</b:Tag>
    <b:SourceType>Report</b:SourceType>
    <b:Guid>{39A8DD7F-A8C0-40CF-9316-979167B20339}</b:Guid>
    <b:Author>
      <b:Author>
        <b:Corporate>Naciones Unidas</b:Corporate>
      </b:Author>
    </b:Author>
    <b:Title>Transformar nuestro mundo: la Agenda 2030 para el Desarrollo Sostenible</b:Title>
    <b:ThesisType>A/RES/70/1</b:ThesisType>
    <b:StandardNumber>https://sustainabledevelopment.un.org/post2015/transformingourworld</b:StandardNumber>
    <b:Year>2015</b:Year>
    <b:RefOrder>9</b:RefOrder>
  </b:Source>
  <b:Source>
    <b:Tag>Abe14</b:Tag>
    <b:SourceType>JournalArticle</b:SourceType>
    <b:Guid>{4B16B25A-65FC-41A7-BE50-D7342C5FD973}</b:Guid>
    <b:Author>
      <b:Author>
        <b:NameList>
          <b:Person>
            <b:Last>Abeles</b:Last>
            <b:First>Martín</b:First>
          </b:Person>
          <b:Person>
            <b:Last>Amarante</b:Last>
            <b:First>Verónica</b:First>
          </b:Person>
          <b:Person>
            <b:Last>Vega</b:Last>
            <b:First>Daniel</b:First>
          </b:Person>
        </b:NameList>
      </b:Author>
    </b:Author>
    <b:Title>Participación del ingreso laboral en el ingreso total en América Latina, 1990-2010</b:Title>
    <b:Year>2014</b:Year>
    <b:JournalName>Revista CEPAL</b:JournalName>
    <b:Pages>31-52</b:Pages>
    <b:Issue>114</b:Issue>
    <b:URL>https://repositorio.cepal.org/handle/11362/37435</b:URL>
    <b:RefOrder>10</b:RefOrder>
  </b:Source>
  <b:Source>
    <b:Tag>Abe17</b:Tag>
    <b:SourceType>Report</b:SourceType>
    <b:Guid>{A117A665-0BC3-4C02-9CA1-071104F3E04A}</b:Guid>
    <b:Title>Distribución funcional del ingreso en América Latina desde una perspectiva sectorial</b:Title>
    <b:Year>2017</b:Year>
    <b:Author>
      <b:Author>
        <b:NameList>
          <b:Person>
            <b:Last>Abeles</b:Last>
            <b:First>Martín</b:First>
          </b:Person>
          <b:Person>
            <b:Last>Arakaki</b:Last>
            <b:First>Agustín</b:First>
          </b:Person>
          <b:Person>
            <b:Last>Villafañe</b:Last>
            <b:First>Soledad</b:First>
          </b:Person>
        </b:NameList>
      </b:Author>
    </b:Author>
    <b:Institution>Comisión Económica para América Latina y el Caribe (CEPAL)</b:Institution>
    <b:ThesisType>Serie Estudios y Perspectivas (Buenos Aires) No.53</b:ThesisType>
    <b:URL>https://repositorio.cepal.org/handle/11362/41786</b:URL>
    <b:RefOrder>11</b:RefOrder>
  </b:Source>
  <b:Source>
    <b:Tag>Gue12</b:Tag>
    <b:SourceType>Report</b:SourceType>
    <b:Guid>{E37585CA-E044-474E-83AD-33B417FB2F84}</b:Guid>
    <b:Author>
      <b:Author>
        <b:NameList>
          <b:Person>
            <b:Last>Guerriero</b:Last>
            <b:First>Marta</b:First>
          </b:Person>
          <b:Person>
            <b:Last>Sen</b:Last>
            <b:First>Kunal</b:First>
          </b:Person>
        </b:NameList>
      </b:Author>
    </b:Author>
    <b:Title>What Determines the Share of Labour in National Income? A Cross-Country Analysis</b:Title>
    <b:Year>2012</b:Year>
    <b:ThesisType>IZA Discussion Paper No. 6643</b:ThesisType>
    <b:URL>http://ftp.iza.org/dp6643.pdf</b:URL>
    <b:RefOrder>12</b:RefOrder>
  </b:Source>
  <b:Source>
    <b:Tag>Tra15</b:Tag>
    <b:SourceType>Report</b:SourceType>
    <b:Guid>{DDC724A1-A2AE-4843-9126-11D7B131726F}</b:Guid>
    <b:Author>
      <b:Author>
        <b:NameList>
          <b:Person>
            <b:Last>Trapp</b:Last>
            <b:First>Katharina</b:First>
          </b:Person>
        </b:NameList>
      </b:Author>
    </b:Author>
    <b:Title>Measuring the Labour Income Share of Developing Countries: Learning from Social Accounting Matrices</b:Title>
    <b:Year>2015</b:Year>
    <b:ThesisType>WIDER Working Paper 2015/041</b:ThesisType>
    <b:DOI>https://doi.org/10.35188/UNU-WIDER/2015/926-8</b:DOI>
    <b:RefOrder>13</b:RefOrder>
  </b:Source>
  <b:Source>
    <b:Tag>Van17</b:Tag>
    <b:SourceType>Report</b:SourceType>
    <b:Guid>{D75F8DAB-A188-46B6-B9EF-289220CBD594}</b:Guid>
    <b:Author>
      <b:Author>
        <b:NameList>
          <b:Person>
            <b:Last>Treeck</b:Last>
            <b:First>Katharina</b:First>
            <b:Middle>van</b:Middle>
          </b:Person>
        </b:NameList>
      </b:Author>
    </b:Author>
    <b:Title>The Labor Income Share in Developing Countries: A Review and Analysis of International Panel Data</b:Title>
    <b:Year>2017</b:Year>
    <b:RefOrder>14</b:RefOrder>
  </b:Source>
  <b:Source>
    <b:Tag>Fle69</b:Tag>
    <b:SourceType>Report</b:SourceType>
    <b:Guid>{3EDC133A-BB87-401A-894B-FA344342C9F0}</b:Guid>
    <b:Title>Cuentas Nacionales de Nicaragua 1969-1968</b:Title>
    <b:Year>1969</b:Year>
    <b:Author>
      <b:Author>
        <b:NameList>
          <b:Person>
            <b:Last>Fletes</b:Last>
            <b:First>Leonel</b:First>
          </b:Person>
        </b:NameList>
      </b:Author>
    </b:Author>
    <b:Department>Facultad de Ciencias Económicas</b:Department>
    <b:Institution>Universidad Nacional Autónoma de Nicaragua</b:Institution>
    <b:ThesisType>Monografía</b:ThesisType>
    <b:RefOrder>15</b:RefOrder>
  </b:Source>
  <b:Source>
    <b:Tag>Min17</b:Tag>
    <b:SourceType>Report</b:SourceType>
    <b:Guid>{418FE53C-15E5-4925-AA0B-645795A40A03}</b:Guid>
    <b:Author>
      <b:Author>
        <b:NameList>
          <b:Person>
            <b:Last>Minzer</b:Last>
            <b:First>Rodolfo</b:First>
          </b:Person>
          <b:Person>
            <b:Last>Romero</b:Last>
            <b:First>Indira</b:First>
          </b:Person>
          <b:Person>
            <b:Last>Orozco</b:Last>
            <b:First>Roberto</b:First>
          </b:Person>
        </b:NameList>
      </b:Author>
    </b:Author>
    <b:Title>Análisis estructural de la economía nicaragüense: el mercado laboral</b:Title>
    <b:Year>2017</b:Year>
    <b:Institution>CEPAL</b:Institution>
    <b:ThesisType>Documentos de Proyectos</b:ThesisType>
    <b:RefOrder>16</b:RefOrder>
  </b:Source>
  <b:Source>
    <b:Tag>McL19</b:Tag>
    <b:SourceType>Report</b:SourceType>
    <b:Guid>{C216F61C-5BD2-4D6C-8413-5533E00CA2B5}</b:Guid>
    <b:Title>La distribución funcional del ingreso nacional en la economía de Nicaragua 2006-2016</b:Title>
    <b:Year>2019</b:Year>
    <b:URL>http://repositorio.unan.edu.ni/10967/</b:URL>
    <b:City>Managua</b:City>
    <b:Author>
      <b:Author>
        <b:NameList>
          <b:Person>
            <b:Last>McLean</b:Last>
            <b:First>Roberto</b:First>
          </b:Person>
        </b:NameList>
      </b:Author>
    </b:Author>
    <b:Institution>Universidad Nacional Autónoma de Nicaragua, (UNAN)</b:Institution>
    <b:ThesisType>Monografía</b:ThesisType>
    <b:RefOrder>17</b:RefOrder>
  </b:Source>
  <b:Source>
    <b:Tag>ILO191</b:Tag>
    <b:SourceType>Report</b:SourceType>
    <b:Guid>{CA6FC041-A695-4F50-A4A9-97BB812BD674}</b:Guid>
    <b:Author>
      <b:Author>
        <b:Corporate>ILO</b:Corporate>
      </b:Author>
    </b:Author>
    <b:Title>The Global Decline of the Labour Income Share and Distribution</b:Title>
    <b:Year>2019</b:Year>
    <b:ThesisType>Methological description</b:ThesisType>
    <b:RefOrder>18</b:RefOrder>
  </b:Source>
  <b:Source>
    <b:Tag>Dou02</b:Tag>
    <b:SourceType>JournalArticle</b:SourceType>
    <b:Guid>{787584D7-8857-48FF-B809-B1DEF96FDF6B}</b:Guid>
    <b:Title>Getting Income Shares Right</b:Title>
    <b:Year>2002</b:Year>
    <b:JournalName>Journal of Political Economy</b:JournalName>
    <b:Pages>458-474</b:Pages>
    <b:Author>
      <b:Author>
        <b:NameList>
          <b:Person>
            <b:Last>Gollin</b:Last>
            <b:First>Douglas</b:First>
          </b:Person>
        </b:NameList>
      </b:Author>
    </b:Author>
    <b:Month>April</b:Month>
    <b:Volume>110</b:Volume>
    <b:Issue>2</b:Issue>
    <b:RefOrder>19</b:RefOrder>
  </b:Source>
  <b:Source>
    <b:Tag>Law15</b:Tag>
    <b:SourceType>Report</b:SourceType>
    <b:Guid>{5A99F690-E9FD-4435-A8BD-22592C1ED2D6}</b:Guid>
    <b:Author>
      <b:Author>
        <b:NameList>
          <b:Person>
            <b:Last>Lawrence</b:Last>
            <b:First>Robert</b:First>
            <b:Middle>Z.</b:Middle>
          </b:Person>
        </b:NameList>
      </b:Author>
    </b:Author>
    <b:Title>Recent Declines in Labor's Share in US Income: A Preliminary Neoclassical Account</b:Title>
    <b:Year>2015</b:Year>
    <b:Institution>The National Bureau of Economic Research (NBER)</b:Institution>
    <b:ThesisType>Working Paper No. 21296</b:ThesisType>
    <b:URL>https://www.nber.org/papers/w21296</b:URL>
    <b:RefOrder>20</b:RefOrder>
  </b:Source>
  <b:Source>
    <b:Tag>Kar14</b:Tag>
    <b:SourceType>Report</b:SourceType>
    <b:Guid>{61AF77C5-8D63-4471-A758-9325459FD008}</b:Guid>
    <b:Author>
      <b:Author>
        <b:NameList>
          <b:Person>
            <b:Last>Karabarbounis</b:Last>
            <b:First>Loukas</b:First>
          </b:Person>
          <b:Person>
            <b:Last>Neiman</b:Last>
            <b:First>Brent</b:First>
          </b:Person>
        </b:NameList>
      </b:Author>
    </b:Author>
    <b:Title>Capital Depreciation and Labor Shares Around the World: Measurement and Implications</b:Title>
    <b:Year>2014</b:Year>
    <b:DOI>10.3386/w20606</b:DOI>
    <b:Institution>The National Bureau of Economic Research (NBER)</b:Institution>
    <b:ThesisType>NBER Working Paper No. 20606</b:ThesisType>
    <b:RefOrder>21</b:RefOrder>
  </b:Source>
  <b:Source>
    <b:Tag>Gro17</b:Tag>
    <b:SourceType>Report</b:SourceType>
    <b:Guid>{B5A2C1AB-A135-4441-910A-539CF715B116}</b:Guid>
    <b:Author>
      <b:Author>
        <b:NameList>
          <b:Person>
            <b:Last>Grossman</b:Last>
            <b:First>Gene</b:First>
          </b:Person>
          <b:Person>
            <b:Last>Helpman</b:Last>
            <b:First>Elhanan</b:First>
          </b:Person>
          <b:Person>
            <b:Last>Oberfield</b:Last>
            <b:First>Ezra</b:First>
          </b:Person>
          <b:Person>
            <b:Last>Sampson</b:Last>
            <b:First>Thomas</b:First>
          </b:Person>
        </b:NameList>
      </b:Author>
    </b:Author>
    <b:Title>The Productivity Slowdown and the Declining Labor Share: A Neoclassical Exploration</b:Title>
    <b:Year>2017</b:Year>
    <b:Institution>The National Bureau of Economic Research (NBER)</b:Institution>
    <b:ThesisType>NBER Working Paper No. 23853</b:ThesisType>
    <b:URL>https://www.nber.org/papers/w23853</b:URL>
    <b:RefOrder>22</b:RefOrder>
  </b:Source>
  <b:Source>
    <b:Tag>Alv15</b:Tag>
    <b:SourceType>Report</b:SourceType>
    <b:Guid>{158A36D4-9FB0-46CF-A15E-00DADE91E6C0}</b:Guid>
    <b:Author>
      <b:Author>
        <b:NameList>
          <b:Person>
            <b:Last>Alvarez-Cuadrado</b:Last>
            <b:First>Francisco</b:First>
          </b:Person>
          <b:Person>
            <b:Last>Van Long</b:Last>
            <b:First>Ngo</b:First>
          </b:Person>
          <b:Person>
            <b:Last>Poschke</b:Last>
            <b:First>Markus</b:First>
          </b:Person>
        </b:NameList>
      </b:Author>
    </b:Author>
    <b:Title>Capital-Labor Substitution, Structural Change and the Labor Income Share</b:Title>
    <b:Year>2015</b:Year>
    <b:ThesisType>IZA Discussion Paper No. 8941</b:ThesisType>
    <b:URL>https://ssrn.com/abstract=2589783</b:URL>
    <b:RefOrder>23</b:RefOrder>
  </b:Source>
  <b:Source>
    <b:Tag>Ben99</b:Tag>
    <b:SourceType>Report</b:SourceType>
    <b:Guid>{7B86C784-7D32-4CEF-BF8E-5068E38CBE15}</b:Guid>
    <b:Title>Explaining Movements in the Labor Share</b:Title>
    <b:Year>1999</b:Year>
    <b:Author>
      <b:Author>
        <b:NameList>
          <b:Person>
            <b:Last>Bentolila</b:Last>
            <b:First>Samuel</b:First>
          </b:Person>
          <b:Person>
            <b:Last>Saint-Paul</b:Last>
            <b:First>Gilles</b:First>
          </b:Person>
        </b:NameList>
      </b:Author>
    </b:Author>
    <b:Institution>CEMFI</b:Institution>
    <b:ThesisType>Working Paper No. 9905</b:ThesisType>
    <b:RefOrder>24</b:RefOrder>
  </b:Source>
  <b:Source>
    <b:Tag>Sch18</b:Tag>
    <b:SourceType>Report</b:SourceType>
    <b:Guid>{3E4A5C49-46F3-47F3-A9C9-5F29B40C55F5}</b:Guid>
    <b:Author>
      <b:Author>
        <b:NameList>
          <b:Person>
            <b:Last>Schwellnus</b:Last>
            <b:First>Cyrille</b:First>
          </b:Person>
          <b:Person>
            <b:Last>Pak</b:Last>
            <b:First>Mathilde</b:First>
          </b:Person>
          <b:Person>
            <b:Last>Pionnier</b:Last>
            <b:First>Pierre-Alain</b:First>
          </b:Person>
          <b:Person>
            <b:Last>Crivellaro</b:Last>
            <b:First>Elena</b:First>
          </b:Person>
        </b:NameList>
      </b:Author>
    </b:Author>
    <b:Title>Labour share developments over the past two decades. The role of technological progress, globalisation and “winner-takes-most” dynamics</b:Title>
    <b:Year>2018</b:Year>
    <b:Department>Economics Department</b:Department>
    <b:Institution>OECD </b:Institution>
    <b:ThesisType>Working Papers, No. 1503</b:ThesisType>
    <b:DOI>https://doi.org/10.1787/3eb9f9ed-en</b:DOI>
    <b:RefOrder>25</b:RefOrder>
  </b:Source>
  <b:Source>
    <b:Tag>Abd17</b:Tag>
    <b:SourceType>Report</b:SourceType>
    <b:Guid>{00705B74-1ED0-477F-A81B-8B7642C71F9F}</b:Guid>
    <b:Author>
      <b:Author>
        <b:NameList>
          <b:Person>
            <b:Last>Abdih</b:Last>
            <b:First>Yasser</b:First>
          </b:Person>
          <b:Person>
            <b:Last>Danninger</b:Last>
            <b:First>Stephan</b:First>
          </b:Person>
        </b:NameList>
      </b:Author>
    </b:Author>
    <b:Title>What Explains the Decline of the U.S. Labor Share of Income? An Analysis of State and Industry Level Data</b:Title>
    <b:Year>2017</b:Year>
    <b:Institution>International Monetary Fund</b:Institution>
    <b:ThesisType>IMF Working Papers No. 17/167</b:ThesisType>
    <b:URL>https://www.imf.org/en/Publications/WP/Issues/2017/07/24/What-Explains-the-Decline-of-the-U-S-45086</b:URL>
    <b:RefOrder>26</b:RefOrder>
  </b:Source>
  <b:Source>
    <b:Tag>Gus06</b:Tag>
    <b:SourceType>Report</b:SourceType>
    <b:Guid>{EABFC464-DA54-4CB6-A203-27066A109AB8}</b:Guid>
    <b:Author>
      <b:Author>
        <b:NameList>
          <b:Person>
            <b:Last>Guscina</b:Last>
            <b:First>Anastasia</b:First>
          </b:Person>
        </b:NameList>
      </b:Author>
    </b:Author>
    <b:Title>Effects of Globalization on Labor’s Share in National Income</b:Title>
    <b:Year>2006</b:Year>
    <b:Institution>International Monetary Fund</b:Institution>
    <b:ThesisType>IMF Working Paper</b:ThesisType>
    <b:RefOrder>27</b:RefOrder>
  </b:Source>
  <b:Source>
    <b:Tag>Jay07</b:Tag>
    <b:SourceType>JournalArticle</b:SourceType>
    <b:Guid>{F7D409DB-C496-4B71-8F82-26E011BE0963}</b:Guid>
    <b:Author>
      <b:Author>
        <b:NameList>
          <b:Person>
            <b:Last>Jayadev</b:Last>
            <b:First>Arjun</b:First>
          </b:Person>
        </b:NameList>
      </b:Author>
    </b:Author>
    <b:Title>Capital account openness and the labour share of income</b:Title>
    <b:Year>2007</b:Year>
    <b:Pages>423-443</b:Pages>
    <b:DOI> https://doi.org/10.1093/cje/bel037</b:DOI>
    <b:JournalName>Cambridge Journal of Economics</b:JournalName>
    <b:Volume>31</b:Volume>
    <b:Issue>3</b:Issue>
    <b:RefOrder>28</b:RefOrder>
  </b:Source>
  <b:Source>
    <b:Tag>Iba17</b:Tag>
    <b:SourceType>Report</b:SourceType>
    <b:Guid>{28623987-B9BA-42C3-AA36-3F24246CF74F}</b:Guid>
    <b:Author>
      <b:Author>
        <b:NameList>
          <b:Person>
            <b:Last>Ibarra</b:Last>
            <b:First>Carlos</b:First>
            <b:Middle>A.</b:Middle>
          </b:Person>
          <b:Person>
            <b:Last>Ros</b:Last>
            <b:First>Jaime</b:First>
          </b:Person>
        </b:NameList>
      </b:Author>
    </b:Author>
    <b:Title>The Decline Of The Labour Share In Mexico: 1990–2015</b:Title>
    <b:Year>2017</b:Year>
    <b:ThesisType>WIDER Working Paper 2017/183</b:ThesisType>
    <b:DOI>https://doi.org/10.35188/UNU-WIDER/</b:DOI>
    <b:RefOrder>29</b:RefOrder>
  </b:Source>
  <b:Source>
    <b:Tag>Dün13</b:Tag>
    <b:SourceType>Report</b:SourceType>
    <b:Guid>{8C84A78E-72AE-4AF8-AD73-407B409B638B}</b:Guid>
    <b:Title>Determinants of functional income distribution: theory and empirical evidence</b:Title>
    <b:Year>2013</b:Year>
    <b:Author>
      <b:Author>
        <b:NameList>
          <b:Person>
            <b:Last>Dünhaupt</b:Last>
            <b:First>Petra</b:First>
          </b:Person>
        </b:NameList>
      </b:Author>
    </b:Author>
    <b:Institution>Global Labour University</b:Institution>
    <b:ThesisType>Working paper, No. 18</b:ThesisType>
    <b:RefOrder>30</b:RefOrder>
  </b:Source>
  <b:Source>
    <b:Tag>Min16</b:Tag>
    <b:SourceType>Book</b:SourceType>
    <b:Guid>{5B4C698F-C9C5-4B45-AE91-5DE651EE92CD}</b:Guid>
    <b:Title>Labor`s Share of Income. Another Key to Understand China`s Income Inequality</b:Title>
    <b:Year>2016</b:Year>
    <b:Author>
      <b:Author>
        <b:NameList>
          <b:Person>
            <b:Last>Zhou</b:Last>
            <b:First>Minghai</b:First>
          </b:Person>
        </b:NameList>
      </b:Author>
    </b:Author>
    <b:City>Singapore</b:City>
    <b:Publisher>Springer</b:Publisher>
    <b:RefOrder>31</b:RefOrder>
  </b:Source>
  <b:Source>
    <b:Tag>Har05</b:Tag>
    <b:SourceType>Report</b:SourceType>
    <b:Guid>{F524B0EB-A399-4C58-B840-682B731D6B38}</b:Guid>
    <b:Author>
      <b:Author>
        <b:NameList>
          <b:Person>
            <b:Last>Harrison</b:Last>
            <b:First>Ann</b:First>
          </b:Person>
        </b:NameList>
      </b:Author>
    </b:Author>
    <b:Title>Has Globalization Eroded Labor’s Share? Some Cross-Country Evidence</b:Title>
    <b:Year>2005</b:Year>
    <b:Institution>Munich Personal RePEc Archive</b:Institution>
    <b:ThesisType>MPRA Paper No. 39649</b:ThesisType>
    <b:RefOrder>32</b:RefOrder>
  </b:Source>
  <b:Source>
    <b:Tag>Dim19</b:Tag>
    <b:SourceType>Report</b:SourceType>
    <b:Guid>{CF55F68C-B141-4504-B26A-B992918CE226}</b:Guid>
    <b:Author>
      <b:Author>
        <b:NameList>
          <b:Person>
            <b:Last>Dimova</b:Last>
            <b:First>Dilyana</b:First>
          </b:Person>
        </b:NameList>
      </b:Author>
    </b:Author>
    <b:Title>The Structural Determinants of the Labor Share in Europe</b:Title>
    <b:Year>2019</b:Year>
    <b:Institution>International Monetary Fund (IMF)</b:Institution>
    <b:ThesisType>IMF Working Papers No. 19/67</b:ThesisType>
    <b:URL>https://www.imf.org/en/Publications/WP/Issues/2019/03/22/The-Structural-Determinants-of-the-Labor-Share-in-Europe-46668</b:URL>
    <b:RefOrder>33</b:RefOrder>
  </b:Source>
  <b:Source>
    <b:Tag>Gwa03</b:Tag>
    <b:SourceType>JournalArticle</b:SourceType>
    <b:Guid>{3D188A3F-F394-458F-A405-33F1FB13F9EB}</b:Guid>
    <b:Author>
      <b:Author>
        <b:NameList>
          <b:Person>
            <b:Last>Gwartney</b:Last>
            <b:First>James</b:First>
          </b:Person>
          <b:Person>
            <b:Last>Lawson</b:Last>
            <b:First>Robert</b:First>
          </b:Person>
        </b:NameList>
      </b:Author>
    </b:Author>
    <b:Title>The concept and measurement of economic freedom</b:Title>
    <b:Year>2003</b:Year>
    <b:JournalName>European Journal of Political Economy</b:JournalName>
    <b:Pages>405-430</b:Pages>
    <b:Volume>19</b:Volume>
    <b:RefOrder>34</b:RefOrder>
  </b:Source>
  <b:Source>
    <b:Tag>Diw01</b:Tag>
    <b:SourceType>Report</b:SourceType>
    <b:Guid>{F7D94E09-31D2-44FC-A9B0-3872F43617CA}</b:Guid>
    <b:Title>Debt as Sweat: Labor, financial crises, and the globalization of capital</b:Title>
    <b:Year>2001</b:Year>
    <b:Author>
      <b:Author>
        <b:NameList>
          <b:Person>
            <b:Last>Diwan</b:Last>
            <b:First>Ishac</b:First>
          </b:Person>
        </b:NameList>
      </b:Author>
    </b:Author>
    <b:Institution>The World Bank</b:Institution>
    <b:RefOrder>35</b:RefOrder>
  </b:Source>
  <b:Source>
    <b:Tag>LiD09</b:Tag>
    <b:SourceType>JournalArticle</b:SourceType>
    <b:Guid>{B5E5A980-5169-4E76-9292-B428B079BE4B}</b:Guid>
    <b:Title>Changes in the labor share of GDP: a U‐shaped curve</b:Title>
    <b:JournalName>Social Sciences in China</b:JournalName>
    <b:Year>2009</b:Year>
    <b:Pages>131-153</b:Pages>
    <b:Author>
      <b:Author>
        <b:NameList>
          <b:Person>
            <b:Last>Li</b:Last>
            <b:First>D</b:First>
          </b:Person>
          <b:Person>
            <b:Last>Liu</b:Last>
            <b:First>L</b:First>
          </b:Person>
          <b:Person>
            <b:Last>Wang</b:Last>
            <b:First>H</b:First>
          </b:Person>
        </b:NameList>
      </b:Author>
    </b:Author>
    <b:Volume>30</b:Volume>
    <b:Issue>4</b:Issue>
    <b:RefOrder>36</b:RefOrder>
  </b:Source>
  <b:Source>
    <b:Tag>Man15</b:Tag>
    <b:SourceType>Report</b:SourceType>
    <b:Guid>{54ECEDA6-5F31-48B6-9AAE-0D3C9D50B56A}</b:Guid>
    <b:Author>
      <b:Author>
        <b:NameList>
          <b:Person>
            <b:Last>Mangin</b:Last>
            <b:First>Sephorah</b:First>
          </b:Person>
        </b:NameList>
      </b:Author>
    </b:Author>
    <b:Title>Unemployment and the Labor Share</b:Title>
    <b:Year>2015</b:Year>
    <b:Department>Deparment of Economics</b:Department>
    <b:Institution>Monash Business School</b:Institution>
    <b:ThesisType>Discussion Paper 28/15</b:ThesisType>
    <b:RefOrder>37</b:RefOrder>
  </b:Source>
  <b:Source>
    <b:Tag>Bot18</b:Tag>
    <b:SourceType>Report</b:SourceType>
    <b:Guid>{00519816-62D2-48A6-8173-B0EA229DD118}</b:Guid>
    <b:Author>
      <b:Author>
        <b:NameList>
          <b:Person>
            <b:Last>Botelho</b:Last>
            <b:First>Vasco</b:First>
          </b:Person>
        </b:NameList>
      </b:Author>
    </b:Author>
    <b:Title>The Structural Shift in the Cyclicality of the Labor Income Share for the United States</b:Title>
    <b:Year>2018</b:Year>
    <b:Institution>Duke University</b:Institution>
    <b:RefOrder>38</b:RefOrder>
  </b:Source>
  <b:Source>
    <b:Tag>Jos19</b:Tag>
    <b:SourceType>DocumentFromInternetSite</b:SourceType>
    <b:Guid>{C6CBDDF0-CA89-4DB6-8EF6-B67BF2BAA648}</b:Guid>
    <b:Title>Evidence that tight labor markets really will increase labor’s share of income</b:Title>
    <b:Year>2019</b:Year>
    <b:InternetSiteTitle>Economic Policy Institute </b:InternetSiteTitle>
    <b:Month>April</b:Month>
    <b:Day>30</b:Day>
    <b:URL>https://www.epi.org/blog/evidence-that-tight-labor-markets-really-will-increase-labors-share-of-income-economic-policy-institute-macroeconomics-newsletter/</b:URL>
    <b:ProductionCompany>Macroeconomics Newsletter</b:ProductionCompany>
    <b:Author>
      <b:Author>
        <b:NameList>
          <b:Person>
            <b:Last>Bivens</b:Last>
            <b:First>Josh</b:First>
          </b:Person>
        </b:NameList>
      </b:Author>
      <b:ProducerName>
        <b:NameList>
          <b:Person>
            <b:Last>Blog</b:Last>
            <b:First>Working</b:First>
            <b:Middle>Economics</b:Middle>
          </b:Person>
        </b:NameList>
      </b:ProducerName>
    </b:Author>
    <b:RefOrder>39</b:RefOrder>
  </b:Source>
  <b:Source>
    <b:Tag>Can18</b:Tag>
    <b:SourceType>Report</b:SourceType>
    <b:Guid>{6A7B2FE6-71FC-462E-8DEB-416B1CAC5381}</b:Guid>
    <b:Title>The Missing Link: Monetary Policy and The Labor Share</b:Title>
    <b:Year>2018</b:Year>
    <b:Author>
      <b:Author>
        <b:NameList>
          <b:Person>
            <b:Last>Cantore</b:Last>
            <b:First>Cristiano</b:First>
          </b:Person>
          <b:Person>
            <b:Last>Ferroni</b:Last>
            <b:First>Filippo</b:First>
          </b:Person>
          <b:Person>
            <b:Last>León-Ledesma</b:Last>
            <b:First>Miguel</b:First>
            <b:Middle>A.</b:Middle>
          </b:Person>
        </b:NameList>
      </b:Author>
    </b:Author>
    <b:Department>School of Economics Discussion Papers</b:Department>
    <b:Institution>University of Kent</b:Institution>
    <b:RefOrder>40</b:RefOrder>
  </b:Source>
  <b:Source>
    <b:Tag>BCN121</b:Tag>
    <b:SourceType>Report</b:SourceType>
    <b:Guid>{E2374593-3759-4C60-9BBE-0EFCE813990A}</b:Guid>
    <b:Title>Sistema de cuentas nacionales de Nicaragua (SCNN 2006). Año de Referencia 2006</b:Title>
    <b:Year>2012</b:Year>
    <b:URL>https://www.bcn.gob.ni/publicaciones/metodologias/index.php</b:URL>
    <b:Author>
      <b:Author>
        <b:NameList>
          <b:Person>
            <b:Last>BCN</b:Last>
          </b:Person>
        </b:NameList>
      </b:Author>
    </b:Author>
    <b:RefOrder>41</b:RefOrder>
  </b:Source>
  <b:Source>
    <b:Tag>Cho17</b:Tag>
    <b:SourceType>Report</b:SourceType>
    <b:Guid>{CE152622-5BF1-4441-B802-5036B1D0914E}</b:Guid>
    <b:Author>
      <b:Author>
        <b:NameList>
          <b:Person>
            <b:Last>Cho</b:Last>
            <b:First>Taehyoung</b:First>
          </b:Person>
          <b:Person>
            <b:Last>Hwang</b:Last>
            <b:First>Soobin</b:First>
          </b:Person>
          <b:Person>
            <b:Last>Schreyer</b:Last>
            <b:First>Paul</b:First>
          </b:Person>
        </b:NameList>
      </b:Author>
    </b:Author>
    <b:Title>Has the Labour Share Declined? It Depends</b:Title>
    <b:Year>2017</b:Year>
    <b:ThesisType>OECD Statistics Working Papers No. 77</b:ThesisType>
    <b:DOI>https://dx.doi.org/10.1787/2dcfc715-en</b:DOI>
    <b:RefOrder>42</b:RefOrder>
  </b:Source>
  <b:Source>
    <b:Tag>deSns</b:Tag>
    <b:SourceType>Report</b:SourceType>
    <b:Guid>{77B1DD2E-C992-4DA2-8796-9FD4DEA9F0B3}</b:Guid>
    <b:Year>2002</b:Year>
    <b:Department>Economics Department</b:Department>
    <b:Institution>OECD</b:Institution>
    <b:ThesisType>Working Papers No. 326</b:ThesisType>
    <b:DOI>https://dx.doi.org/10.1787/763626062738</b:DOI>
    <b:Author>
      <b:Author>
        <b:NameList>
          <b:Person>
            <b:Last>de Serres</b:Last>
            <b:First>Alain </b:First>
          </b:Person>
          <b:Person>
            <b:Last>Scarpetta</b:Last>
            <b:First>Stefano </b:First>
          </b:Person>
          <b:Person>
            <b:Last>de la Maisonneuve</b:Last>
            <b:First>Christine</b:First>
          </b:Person>
        </b:NameList>
      </b:Author>
    </b:Author>
    <b:Title>Sectoral shifts in Europe and the United States: How they affect aggregate labour shares and the properties of wage equations</b:Title>
    <b:RefOrder>43</b:RefOrder>
  </b:Source>
  <b:Source>
    <b:Tag>Sol58</b:Tag>
    <b:SourceType>JournalArticle</b:SourceType>
    <b:Guid>{D3AC7A89-4BC4-4DF9-86D7-D2F93CC9730F}</b:Guid>
    <b:Title>A Skeptical Note on the Constancy of Relative Shares</b:Title>
    <b:Year>1958</b:Year>
    <b:JournalName>The American Economic Review</b:JournalName>
    <b:Pages>618-631</b:Pages>
    <b:Author>
      <b:Author>
        <b:NameList>
          <b:Person>
            <b:Last>Solow</b:Last>
            <b:First>Robert</b:First>
            <b:Middle>M.</b:Middle>
          </b:Person>
        </b:NameList>
      </b:Author>
    </b:Author>
    <b:Month>September</b:Month>
    <b:Volume>48</b:Volume>
    <b:Issue>4</b:Issue>
    <b:RefOrder>44</b:RefOrder>
  </b:Source>
  <b:Source>
    <b:Tag>Sto17</b:Tag>
    <b:SourceType>JournalArticle</b:SourceType>
    <b:Guid>{20928786-6312-4AC8-97BD-0892145730D9}</b:Guid>
    <b:Title>Determinants of theWage Share:A Panel Analysis of Advanced and Developing Economies</b:Title>
    <b:Year>2017</b:Year>
    <b:Author>
      <b:Author>
        <b:NameList>
          <b:Person>
            <b:Last>Stockhammer</b:Last>
            <b:First>Engelbert</b:First>
          </b:Person>
        </b:NameList>
      </b:Author>
    </b:Author>
    <b:JournalName>British Journal of Industrial Relations</b:JournalName>
    <b:Pages>3–33</b:Pages>
    <b:Month>Marzo</b:Month>
    <b:Volume>55</b:Volume>
    <b:Issue>1</b:Issue>
    <b:StandardNumber>doi: 10.1111/bjir.12165</b:StandardNumber>
    <b:RefOrder>45</b:RefOrder>
  </b:Source>
</b:Sources>
</file>

<file path=customXml/itemProps1.xml><?xml version="1.0" encoding="utf-8"?>
<ds:datastoreItem xmlns:ds="http://schemas.openxmlformats.org/officeDocument/2006/customXml" ds:itemID="{36457C36-40DE-4783-BB2B-27503EC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4271</Words>
  <Characters>23492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27708</CharactersWithSpaces>
  <SharedDoc>false</SharedDoc>
  <HLinks>
    <vt:vector size="24" baseType="variant">
      <vt:variant>
        <vt:i4>5832704</vt:i4>
      </vt:variant>
      <vt:variant>
        <vt:i4>48</vt:i4>
      </vt:variant>
      <vt:variant>
        <vt:i4>0</vt:i4>
      </vt:variant>
      <vt:variant>
        <vt:i4>5</vt:i4>
      </vt:variant>
      <vt:variant>
        <vt:lpwstr>http://www.cepal.org/es/temas/innovacion-ciencia-y-tecnologia</vt:lpwstr>
      </vt:variant>
      <vt:variant>
        <vt:lpwstr/>
      </vt:variant>
      <vt:variant>
        <vt:i4>5832704</vt:i4>
      </vt:variant>
      <vt:variant>
        <vt:i4>30</vt:i4>
      </vt:variant>
      <vt:variant>
        <vt:i4>0</vt:i4>
      </vt:variant>
      <vt:variant>
        <vt:i4>5</vt:i4>
      </vt:variant>
      <vt:variant>
        <vt:lpwstr>http://www.cepal.org/es/temas/innovacion-ciencia-y-tecnologia</vt:lpwstr>
      </vt:variant>
      <vt:variant>
        <vt:lpwstr/>
      </vt:variant>
      <vt:variant>
        <vt:i4>8192094</vt:i4>
      </vt:variant>
      <vt:variant>
        <vt:i4>3</vt:i4>
      </vt:variant>
      <vt:variant>
        <vt:i4>0</vt:i4>
      </vt:variant>
      <vt:variant>
        <vt:i4>5</vt:i4>
      </vt:variant>
      <vt:variant>
        <vt:lpwstr>mailto:revistacienciaseconomicas@gmail.com</vt:lpwstr>
      </vt:variant>
      <vt:variant>
        <vt:lpwstr/>
      </vt:variant>
      <vt:variant>
        <vt:i4>4325379</vt:i4>
      </vt:variant>
      <vt:variant>
        <vt:i4>0</vt:i4>
      </vt:variant>
      <vt:variant>
        <vt:i4>0</vt:i4>
      </vt:variant>
      <vt:variant>
        <vt:i4>5</vt:i4>
      </vt:variant>
      <vt:variant>
        <vt:lpwstr>http://revistacienciaseconomicas.unan.edu.ni/index.php/REICE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López</dc:creator>
  <cp:keywords/>
  <cp:lastModifiedBy>Ricardo Jose Canales Salinas</cp:lastModifiedBy>
  <cp:revision>12</cp:revision>
  <cp:lastPrinted>2017-11-12T20:17:00Z</cp:lastPrinted>
  <dcterms:created xsi:type="dcterms:W3CDTF">2023-04-20T21:51:00Z</dcterms:created>
  <dcterms:modified xsi:type="dcterms:W3CDTF">2023-04-22T09:29:00Z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9f9c1d0b-fe0f-330c-abc7-c75faf4b6938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